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after="0" w:line="240" w:lineRule="auto"/>
        <w:jc w:val="center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>АДМИНИСТРАЦИЯ</w:t>
      </w:r>
    </w:p>
    <w:p>
      <w:pPr>
        <w:spacing w:after="0" w:line="240" w:lineRule="auto"/>
        <w:jc w:val="center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>ГОРОДСКОГО ПОСЕЛЕНИЯ ОДИНЦОВО</w:t>
      </w:r>
    </w:p>
    <w:p>
      <w:pPr>
        <w:spacing w:after="0" w:line="240" w:lineRule="auto"/>
        <w:jc w:val="center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>ОДИНЦОВСКОГО МУНИЦИПАЛЬНОГО РАЙОНА</w:t>
      </w:r>
    </w:p>
    <w:p>
      <w:pPr>
        <w:spacing w:after="0" w:line="240" w:lineRule="auto"/>
        <w:jc w:val="center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>МОСКОВСКОЙ ОБЛАСТИ</w:t>
      </w:r>
    </w:p>
    <w:p>
      <w:pPr>
        <w:spacing w:after="0" w:line="240" w:lineRule="auto"/>
        <w:jc w:val="center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>ПОСТАНОВЛЕНИЕ</w:t>
      </w:r>
    </w:p>
    <w:p>
      <w:pPr>
        <w:autoSpaceDE w:val="0"/>
        <w:autoSpaceDN w:val="0"/>
        <w:adjustRightInd w:val="0"/>
        <w:spacing w:after="0" w:line="240" w:lineRule="auto"/>
        <w:ind w:right="-88"/>
        <w:jc w:val="center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bookmarkStart w:id="3" w:name="_GoBack"/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21.11.2017 № 538                                                                    </w:t>
      </w:r>
    </w:p>
    <w:p>
      <w:pPr>
        <w:autoSpaceDE w:val="0"/>
        <w:autoSpaceDN w:val="0"/>
        <w:adjustRightInd w:val="0"/>
        <w:spacing w:after="0" w:line="240" w:lineRule="auto"/>
        <w:ind w:right="-8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 г.Одинцово</w:t>
      </w:r>
    </w:p>
    <w:p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>
      <w:pPr>
        <w:pStyle w:val="8"/>
        <w:widowControl/>
        <w:ind w:right="3542"/>
        <w:jc w:val="both"/>
        <w:rPr>
          <w:rFonts w:ascii="Times New Roman" w:hAnsi="Times New Roman" w:cs="Times New Roman"/>
          <w:b w:val="0"/>
          <w:bCs w:val="0"/>
          <w:sz w:val="24"/>
          <w:szCs w:val="24"/>
        </w:rPr>
      </w:pPr>
      <w:r>
        <w:rPr>
          <w:rFonts w:ascii="Times New Roman" w:hAnsi="Times New Roman" w:cs="Times New Roman"/>
          <w:b w:val="0"/>
          <w:bCs w:val="0"/>
          <w:sz w:val="24"/>
          <w:szCs w:val="24"/>
        </w:rPr>
        <w:t>Об утверждении Порядка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 w:val="0"/>
          <w:bCs w:val="0"/>
          <w:sz w:val="24"/>
          <w:szCs w:val="24"/>
        </w:rPr>
        <w:t>формирования, финансового обеспечения и мониторинга выполнения муниципального задания на оказание муниципальных услуг (работ) физическим и юридическим лицам муниципальными бюджетными и автономными учреждениями городского поселения Одинцово</w:t>
      </w:r>
    </w:p>
    <w:bookmarkEnd w:id="3"/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соответствии с </w:t>
      </w:r>
      <w:r>
        <w:fldChar w:fldCharType="begin"/>
      </w:r>
      <w:r>
        <w:instrText xml:space="preserve"> HYPERLINK "consultantplus://offline/ref=4083949847E2813024D422DDF915441CA49A7916F5B9DB9B8A202CFF05C5501FDA071BAB6874J2I6G" </w:instrText>
      </w:r>
      <w:r>
        <w:fldChar w:fldCharType="separate"/>
      </w:r>
      <w:r>
        <w:rPr>
          <w:rFonts w:ascii="Times New Roman" w:hAnsi="Times New Roman" w:cs="Times New Roman"/>
          <w:sz w:val="24"/>
          <w:szCs w:val="24"/>
        </w:rPr>
        <w:t>пунктами 3</w:t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 и </w:t>
      </w:r>
      <w:r>
        <w:fldChar w:fldCharType="begin"/>
      </w:r>
      <w:r>
        <w:instrText xml:space="preserve"> HYPERLINK "consultantplus://offline/ref=4083949847E2813024D422DDF915441CA49A7916F5B9DB9B8A202CFF05C5501FDA071BA96A7FJ2I0G" </w:instrText>
      </w:r>
      <w:r>
        <w:fldChar w:fldCharType="separate"/>
      </w:r>
      <w:r>
        <w:rPr>
          <w:rFonts w:ascii="Times New Roman" w:hAnsi="Times New Roman" w:cs="Times New Roman"/>
          <w:sz w:val="24"/>
          <w:szCs w:val="24"/>
        </w:rPr>
        <w:t>4 статьи 69.2</w:t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 Бюджетного кодекса Российской Федерации, под</w:t>
      </w:r>
      <w:r>
        <w:fldChar w:fldCharType="begin"/>
      </w:r>
      <w:r>
        <w:instrText xml:space="preserve"> HYPERLINK "consultantplus://offline/ref=4083949847E2813024D422DDF915441CA49B7F11F7B7DB9B8A202CFF05C5501FDA071BAA6AJ7I5G" </w:instrText>
      </w:r>
      <w:r>
        <w:fldChar w:fldCharType="separate"/>
      </w:r>
      <w:r>
        <w:rPr>
          <w:rFonts w:ascii="Times New Roman" w:hAnsi="Times New Roman" w:cs="Times New Roman"/>
          <w:sz w:val="24"/>
          <w:szCs w:val="24"/>
        </w:rPr>
        <w:t>пунктом 3 пункта 7 статьи 9.2</w:t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 Федерального закона  от 12.01.1996 № 7-ФЗ "О некоммерческих организациях" и подпунктом 3 </w:t>
      </w:r>
      <w:r>
        <w:fldChar w:fldCharType="begin"/>
      </w:r>
      <w:r>
        <w:instrText xml:space="preserve"> HYPERLINK "consultantplus://offline/ref=4083949847E2813024D422DDF915441CA49B7C10F5B6DB9B8A202CFF05C5501FDA071BAAJ6I1G" </w:instrText>
      </w:r>
      <w:r>
        <w:fldChar w:fldCharType="separate"/>
      </w:r>
      <w:r>
        <w:rPr>
          <w:rFonts w:ascii="Times New Roman" w:hAnsi="Times New Roman" w:cs="Times New Roman"/>
          <w:sz w:val="24"/>
          <w:szCs w:val="24"/>
        </w:rPr>
        <w:t>частью 5 статьи 4</w:t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 Федерального закона от 03.11.2006 №174-ФЗ "Об автономных учреждениях",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ПОСТАНОВЛЯЮ:</w:t>
      </w:r>
    </w:p>
    <w:p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firstLine="99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Утвердить прилагаемый Порядок формирования, финансового обеспечения и мониторинга выполнения муниципального задания.</w:t>
      </w:r>
      <w:bookmarkStart w:id="0" w:name="Par38"/>
      <w:bookmarkEnd w:id="0"/>
    </w:p>
    <w:p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firstLine="993"/>
        <w:jc w:val="both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 xml:space="preserve">Признать утратившими силу с 21 ноября 2018 года Постановление </w:t>
      </w: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>Администрации городского поселения Одинцово Одинцовского муниципального района Московской области от 27.12.2017 № 646 «Об утверждении Порядка формирования, финансового обеспечения и мониторинга выполнения муниципального задания на оказание муниципальных услуг (работ) физическим и юридическим лицам муниципальными бюджетными и автономными учреждениями городского поселения Одинцово»</w:t>
      </w:r>
    </w:p>
    <w:p>
      <w:pPr>
        <w:pStyle w:val="12"/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firstLine="99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Опубликовать настоящее постановление в официальных средствах массовой информации и разместить на официальном сайте Администрации городского поселения Одинцово в информационно-телекоммуникационной сети Интернет.</w:t>
      </w:r>
    </w:p>
    <w:p>
      <w:pPr>
        <w:pStyle w:val="1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Настоящее постановление вступает в силу с 21 ноября 2018 года и применяется начиная с муниципальных заданий на 2018 год и плановый период 2019 и 2020 годов.</w:t>
      </w:r>
    </w:p>
    <w:p>
      <w:pPr>
        <w:pStyle w:val="12"/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firstLine="99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Контроль за выполнением настоящего постановления возложить на заместителя руководителя администрации Сушкова В.А.,  заместителя руководителя администрации – начальника управления жилищно-коммунального хозяйства и благоустройства – Гречко И.Я.,  заместителя руководителя администрации – начальника управления транспорта, связи, дорожного хозяйства, строительства и развития малого и среднего предпринимательства – Журавлев А.А., начальника управления экономики, финансов, бухгалтерского учета и отчетности – главного бухгалтера – Сивак И.И.</w:t>
      </w:r>
    </w:p>
    <w:p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Руководитель Администрации                                                      А.В. Козлов</w:t>
      </w:r>
    </w:p>
    <w:p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Утвержден</w:t>
      </w:r>
    </w:p>
    <w:p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постановлением Администрации</w:t>
      </w:r>
    </w:p>
    <w:p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городского поселения Одинцово</w:t>
      </w:r>
    </w:p>
    <w:p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Одинцовского муниципального района</w:t>
      </w:r>
    </w:p>
    <w:p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 21.11.2018 г. N 538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bookmarkStart w:id="1" w:name="Par70"/>
      <w:bookmarkEnd w:id="1"/>
      <w:r>
        <w:rPr>
          <w:rFonts w:ascii="Times New Roman" w:hAnsi="Times New Roman" w:cs="Times New Roman"/>
          <w:b/>
          <w:bCs/>
          <w:sz w:val="24"/>
          <w:szCs w:val="24"/>
        </w:rPr>
        <w:t xml:space="preserve">Порядок формирования, финансового обеспечения и мониторинга выполнения муниципального задания 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1. Настоящий Порядок устанавливает условия формирования, финансового обеспечения и мониторинга выполнения муниципального задания на оказание муниципальных услуг (выполнение работ) (далее - муниципальное задание) муниципальными бюджетными  и автономными учреждениями, созданными на базе имущества, находящегося в муниципальной собственности.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Муниципальное задание формируется в соответствии с основными видами деятельности, предусмотренными учредительными документами  муниципального учреждения, и в соответствии с общероссийскими базовыми (отраслевыми) перечнями (классификаторами) государственных и муниципальных услуг, оказываемых физическим лицам (далее - общероссийские перечни), и региональным перечнем (классификатором) государственных (муниципальных) услуг, не включенных в общероссийские базовые (отраслевые) перечни (классификаторы) государственных и муниципальных услуг, оказываемых физическим лицам, и работ, оказание и выполнение которых предусмотрено нормативными правовыми актами Московской области (далее - региональный перечень)</w:t>
      </w:r>
    </w:p>
    <w:p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       3.  Муниципальное задание содержит:</w:t>
      </w:r>
    </w:p>
    <w:p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       -  показатели, характеризующие объем (содержание) и качество  муниципальной услуги (работы), которые определяются в соответствии с методикой </w:t>
      </w:r>
      <w:r>
        <w:rPr>
          <w:rFonts w:ascii="Times New Roman" w:hAnsi="Times New Roman" w:cs="Times New Roman"/>
          <w:sz w:val="24"/>
          <w:szCs w:val="24"/>
        </w:rPr>
        <w:t>определения плановых и фактических показателей объема и качества муниципальной услуги (работы), разработанной Администрацией городского  поселения Одинцово Одинцовского муниципального района;</w:t>
      </w:r>
    </w:p>
    <w:p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Times New Roman" w:hAnsi="Times New Roman" w:cs="Times New Roman"/>
          <w:sz w:val="24"/>
          <w:szCs w:val="24"/>
          <w:lang w:eastAsia="ru-RU"/>
        </w:rPr>
        <w:t>определение категорий физических и (или) юридических лиц, являющихся потребителями соответствующих услуг;</w:t>
      </w:r>
    </w:p>
    <w:p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- порядок оказания соответствующих услуг;</w:t>
      </w:r>
    </w:p>
    <w:p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-  предельные цены (тарифы) на частичную оплату муниципальной услуги физическими или юридическими лицами в случаях, если нормативным правовым актом предусмотрена их оплата;</w:t>
      </w:r>
    </w:p>
    <w:p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- основания для приостановления и (или) досрочного прекращения выполнения муниципального задания;</w:t>
      </w:r>
    </w:p>
    <w:p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        - порядок контроля за выполнением муниципального задания;</w:t>
      </w:r>
    </w:p>
    <w:p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        - требования к отчетности о выполнении муниципального задания;</w:t>
      </w:r>
    </w:p>
    <w:p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        - иная информация, необходимая для выполнения (контроля за выполнением) муниципального задания.</w:t>
      </w:r>
    </w:p>
    <w:p>
      <w:pPr>
        <w:autoSpaceDE w:val="0"/>
        <w:autoSpaceDN w:val="0"/>
        <w:adjustRightInd w:val="0"/>
        <w:spacing w:after="0" w:line="240" w:lineRule="auto"/>
        <w:ind w:firstLine="53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4. Показатели муниципального задания используются для определения объема субсидий на финансовое обеспечение выполнения муниципального задания бюджетным или автономным учреждением.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39"/>
        <w:jc w:val="both"/>
        <w:rPr>
          <w:rFonts w:ascii="Times New Roman" w:hAnsi="Times New Roman" w:cs="Times New Roman"/>
          <w:sz w:val="24"/>
          <w:szCs w:val="24"/>
        </w:rPr>
      </w:pPr>
      <w:bookmarkStart w:id="2" w:name="Par85"/>
      <w:bookmarkEnd w:id="2"/>
      <w:r>
        <w:rPr>
          <w:rFonts w:ascii="Times New Roman" w:hAnsi="Times New Roman" w:cs="Times New Roman"/>
          <w:sz w:val="24"/>
          <w:szCs w:val="24"/>
        </w:rPr>
        <w:t xml:space="preserve">5. Муниципальное задание формируется по </w:t>
      </w:r>
      <w:r>
        <w:fldChar w:fldCharType="begin"/>
      </w:r>
      <w:r>
        <w:instrText xml:space="preserve"> HYPERLINK \l "Par180" </w:instrText>
      </w:r>
      <w:r>
        <w:fldChar w:fldCharType="separate"/>
      </w:r>
      <w:r>
        <w:rPr>
          <w:rFonts w:ascii="Times New Roman" w:hAnsi="Times New Roman" w:cs="Times New Roman"/>
          <w:sz w:val="24"/>
          <w:szCs w:val="24"/>
        </w:rPr>
        <w:t>форме</w:t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 согласно         приложению №1 к настоящему Порядку.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3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 установлении муниципальному учреждению муниципального задания на оказание нескольких муниципальных услуг (выполнение нескольких работ), муниципальное задание формируется из нескольких разделов, каждый из которых должен содержать требования к оказанию конкретной муниципальной услуги (выполнению одной работы).</w:t>
      </w:r>
    </w:p>
    <w:p>
      <w:pPr>
        <w:pStyle w:val="1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 установлении муниципальному учреждению муниципального задания одновременно на оказание муниципальной услуги (услуг) и выполнение работы (работ), муниципальное задание формируется из                     2 частей, каждая из которых должна содержать отдельно требования к оказанию муниципальной услуги (услуг) и выполнению работы (работ). Информация, касающаяся муниципального задания в целом, включается в </w:t>
      </w:r>
      <w:r>
        <w:fldChar w:fldCharType="begin"/>
      </w:r>
      <w:r>
        <w:instrText xml:space="preserve"> HYPERLINK \l "P767" </w:instrText>
      </w:r>
      <w:r>
        <w:fldChar w:fldCharType="separate"/>
      </w:r>
      <w:r>
        <w:rPr>
          <w:rFonts w:ascii="Times New Roman" w:hAnsi="Times New Roman" w:cs="Times New Roman"/>
          <w:sz w:val="24"/>
          <w:szCs w:val="24"/>
        </w:rPr>
        <w:t>третью часть</w:t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 муниципального задания.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3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6. Выполнение муниципального задания является обязательным для муниципального учреждения. 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7. Муниципальное задание формируется при составлении бюджета поселения на очередной финансовый год и плановый период и утверждается </w:t>
      </w:r>
      <w:r>
        <w:rPr>
          <w:rFonts w:ascii="Times New Roman" w:hAnsi="Times New Roman" w:cs="Times New Roman"/>
          <w:sz w:val="24"/>
          <w:szCs w:val="24"/>
          <w:lang w:eastAsia="ru-RU"/>
        </w:rPr>
        <w:t>не позднее 15 рабочих дней со дня утверждения Администрации городского поселения Одинцово  лимитов бюджетных обязательств на предоставление субсидии на финансовое обеспечение выполнения муниципального задания (далее - субсидия)</w:t>
      </w:r>
      <w:r>
        <w:rPr>
          <w:rFonts w:ascii="Times New Roman" w:hAnsi="Times New Roman" w:cs="Times New Roman"/>
          <w:sz w:val="24"/>
          <w:szCs w:val="24"/>
        </w:rPr>
        <w:t>.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 В случае внесения изменений в показатели муниципального задания, в нормативные правовые акты, на основании которых было сформировано муниципальное задание, а также изменения размера бюджетных ассигнований, предусмотренных в бюджете поселения для финансового обеспечения выполнения муниципального задания, влекущих за собой изменение муниципального задания, формируется новое муниципальное задание, которое утверждается руководителем Администрации городского поселения Одинцово.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 В случае возникновения экономии денежных средств по результатам проведения закупочных процедур, с согласия  руководителя  муниципального учреждения, могут быть уменьшены бюджетные ассигнования на финансовое обеспечение выполнения муниципального задания, без изменения показателей муниципального задания с соответствующим пересчетом нормативных затрат.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10. Финансовое обеспечение выполнения муниципального задания осуществляется в пределах бюджетных ассигнований, предусмотренных в бюджете городского  поселения Одинцово на соответствующие цели.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11. Финансовое обеспечение выполнения муниципального задания муниципальным бюджетным или автономным учреждением осуществляется путем предоставления субсидии.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12. Объем финансового обеспечения выполнения муниципального задания и нормативы затрат на оказание муниципальной услуги определяются в соответствии утвержденными Порядками.  Размер субсидии рассчитывается на основании нормативных затрат на оказание муниципальных услуг в рамках муниципального  задания и нормативных затрат на общехозяйственные нужды на оказание муниципальных услуг.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fldChar w:fldCharType="begin"/>
      </w:r>
      <w:r>
        <w:instrText xml:space="preserve"> HYPERLINK "consultantplus://offline/ref=4083949847E2813024D422DDF915441CA4997E13F5B8DB9B8A202CFF05C5501FDA071BA96977246FJDI3G" </w:instrText>
      </w:r>
      <w:r>
        <w:fldChar w:fldCharType="separate"/>
      </w:r>
      <w:r>
        <w:rPr>
          <w:rFonts w:ascii="Times New Roman" w:hAnsi="Times New Roman" w:cs="Times New Roman"/>
          <w:sz w:val="24"/>
          <w:szCs w:val="24"/>
        </w:rPr>
        <w:t>Порядки</w:t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 устанавливаются постановлениями Администрации городского поселения Одинцово Одинцовского муниципального района.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13. При оказании муниципальных услуг (выполнении работ) муниципальными бюджетными или автономными учреждениями физическим и юридическим лицам за плату в пределах установленного муниципального задания в случаях, установленных нормативными правовыми актами органов местного самоуправления городского поселения Одинцово Одинцовского муниципального района, размер субсидии не включает суммы, планируемые к поступлению от потребителей указанных услуг (работ).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14. Субсидия перечисляется в порядке, установленном нормативным правовым актом Администрации городского поселения Одинцово Одинцовского муниципального района, на лицевой счет бюджетного или автономного учреждения, открытый в УФК по Московской области.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15. Предоставление муниципальному бюджетному или автономному учреждению субсидии осуществляется на основании соглашения о порядке и условиях предоставления субсидии на финансовое обеспечение выполнения муниципального задания, заключаемого Администрацией городского поселения Одинцово  и муниципальным бюджетным или автономным учреждением по форме, утвержденной постановлением Администрации городского поселения Одинцово Одинцовского муниципального района.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Указанное соглашение определяет права, обязанности и ответственность сторон, в том числе объем и периодичность перечисления субсидии в течение финансового года.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16. Контроль и мониторинг за выполнением муниципальными учреждениями муниципальных заданий осуществляют отраслевые управления (отделы) Администрации городского поселения Одинцово.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17. Муниципальные учреждения обязаны представлять отраслевым управлениям (отделам) Администрации городского поселения Одинцово отчеты о выполнении муниципального задания в соответствии с требованиями, установленными муниципальным заданием по форме согласно приложению № 2. Периодичность отчетности составляет 1 полугодие, 9 месяцев, год нарастающим итогом. Сроки предоставления отчетности устанавливаются в муниципальном задании.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18. Мониторинг осуществляется в виде сбора и анализа предоставляемой учреждениями отчетности о выполнении муниципального задания. Отраслевые управления (отделы) Администрации городского поселения Одинцово  по результатам мониторинга итогов за 1 полугодие, 9 месяцев, год в течение 10 рабочих дней  с даты предоставления отчетности учреждений составляет сводный отчет о результатах оказания муниципальных услуг, который подлежит размещению на официальном сайте Администрации городского поселения Одинцово  в информационно-телекоммуникационной сети "Интернет" в течение месяца с даты предоставления отчетности учреждениями.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Сводный отчет о результатах должен содержать следующие разделы: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- характеристика фактических и запланированных на соответствующий период времени результатов выполнения муниципального задания;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- характеристика факторов, повлиявших на отклонение фактических результатов выполнения муниципального задания от запланированных;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- характеристика перспектив выполнения задания в соответствии с утвержденными объемами задания и стандартами оказания муниципальных услуг;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решения, принятые Администрацией  городского поселения Одинцово  по итогам проведения мониторинга.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19. В случае, если муниципальное учреждение не обеспечивает выполнение муниципального задания, отраслевые управления (отделы) Администрации городского поселения Одинцово  обязаны принять меры по обеспечению выполнения муниципального задания, в том числе путем корректировки муниципального задания с соответствующим изменением объемов финансового обеспечения.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Изменение объема субсидии, предоставленной из бюджета городского поселения Одинцово муниципальному учреждению на финансовое обеспечение выполнения муниципального задания, в течение срока его выполнения осуществляется при соответствующем изменении муниципального задания, а также в случаях изменения законодательства и нормативных правовых актов, повлекших за собой изменение расходных обязательств.</w:t>
      </w:r>
    </w:p>
    <w:p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Перечисление субсидии в декабре осуществляется не позднее 2 рабочих дней со дня представления муниципальным бюджетным или автономным учреждением информации об ожидаемом выполнении муниципального задания за соответствующий финансовый год. Если ожидаемые значения показателей объема меньше показателей, установленных в муниципальном задании, то соответствующие средства субсидии подлежат перерасчету.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20.  </w:t>
      </w:r>
      <w:r>
        <w:rPr>
          <w:rFonts w:ascii="Times New Roman" w:hAnsi="Times New Roman" w:cs="Times New Roman"/>
          <w:sz w:val="24"/>
          <w:szCs w:val="24"/>
          <w:lang w:eastAsia="ru-RU"/>
        </w:rPr>
        <w:t>Муниципальное задание и отчет о выполнении муниципального задания размещаются в установленном порядке на официальном сайте в информационно-телекоммуникационной сети "Интернет" по размещению информации о государственных и муниципальных учреждениях (</w:t>
      </w:r>
      <w:r>
        <w:fldChar w:fldCharType="begin"/>
      </w:r>
      <w:r>
        <w:instrText xml:space="preserve"> HYPERLINK "http://www.bus.gov.ru" </w:instrText>
      </w:r>
      <w:r>
        <w:fldChar w:fldCharType="separate"/>
      </w:r>
      <w:r>
        <w:rPr>
          <w:rStyle w:val="4"/>
          <w:rFonts w:ascii="Times New Roman" w:hAnsi="Times New Roman" w:cs="Times New Roman"/>
          <w:color w:val="auto"/>
          <w:sz w:val="24"/>
          <w:szCs w:val="24"/>
          <w:lang w:eastAsia="ru-RU"/>
        </w:rPr>
        <w:t>www.bus.gov.ru</w:t>
      </w:r>
      <w:r>
        <w:rPr>
          <w:rStyle w:val="4"/>
          <w:rFonts w:ascii="Times New Roman" w:hAnsi="Times New Roman" w:cs="Times New Roman"/>
          <w:color w:val="auto"/>
          <w:sz w:val="24"/>
          <w:szCs w:val="24"/>
          <w:lang w:eastAsia="ru-RU"/>
        </w:rPr>
        <w:fldChar w:fldCharType="end"/>
      </w:r>
      <w:r>
        <w:rPr>
          <w:rFonts w:ascii="Times New Roman" w:hAnsi="Times New Roman" w:cs="Times New Roman"/>
          <w:sz w:val="24"/>
          <w:szCs w:val="24"/>
          <w:lang w:eastAsia="ru-RU"/>
        </w:rPr>
        <w:t>).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21. Возврату в бюджет городского поселения Одинцово подлежат остатки субсидий, предоставленных на финансовое обеспечение выполнения муниципального задания  и оказания муниципальных услуг (выполнение работ) муниципальными учреждениями, в объеме, соответствующем не достигнутым в отчетном году показателям муниципального задания, характеризующим объём муниципальных услуг (работ) (далее – Остатки субсидии).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Показатели, характеризующие объём муниципальных услуг (работ), считаются выполненными с учетом допустимых (возможных) отклонений от установленных показателей, определенных Администрацией городского поселения Одинцово Одинцовского муниципального района. 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22. В случае не достижения муниципальными учреждениями значений показателей, характеризующие объём муниципальных услуг (работ), установленных муниципальным заданием в отчетном году, в текущем финансовом году муниципальным учреждением не допускается расходование остатков субсидии до рассмотрения Администрацией городского поселения Одинцово годового отчета о выполнении муниципального задания, предоставляемого муниципальным учреждением  в соответствии с п.17, 18 настоящего Порядка.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23. Администрация городского поселения Одинцово по результатам рассмотрения  годового отчета о выполнении муниципального задания принимает решение о возврате (не возврате) муниципальным учреждением Остатков субсидии в бюджет городского поселения (далее - Решение). 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Заключение об объемах субсидии на финансовое обеспечение выполнения муниципального задания на оказание муниципальных услуг (выполнение работ), подлежащих возврату в бюджет городского поселения Одинцово  за отчетный финансовый год, оформленное по форме согласно приложению № 4 к настоящему Порядку.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Управление экономики, финансов, бухгалтерского учета и отчетности  администрации городского поселения Одинцово оформляют распоряжение администрации о возврате денежных средств.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24. Правила определения объема Остатков субсидий: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24.1. Объем Остатков субсидий, подлежащих возврату муниципальными учреждениями в бюджет городского поселения Одинцово определяется Управлением экономики, финансов, бухгалтерского учета и отчетности администрации городского поселения Одинцово  (далее –</w:t>
      </w:r>
      <w:r>
        <w:rPr>
          <w:rFonts w:ascii="Times New Roman" w:hAnsi="Times New Roman" w:cs="Times New Roman"/>
          <w:sz w:val="24"/>
          <w:szCs w:val="24"/>
          <w:lang w:val="en-US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vertAlign w:val="subscript"/>
        </w:rPr>
        <w:t>ост</w:t>
      </w:r>
      <w:r>
        <w:rPr>
          <w:rFonts w:ascii="Times New Roman" w:hAnsi="Times New Roman" w:cs="Times New Roman"/>
          <w:sz w:val="24"/>
          <w:szCs w:val="24"/>
        </w:rPr>
        <w:t>), по формуле: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</w:t>
      </w:r>
      <w:r>
        <w:rPr>
          <w:rFonts w:ascii="Times New Roman" w:hAnsi="Times New Roman" w:cs="Times New Roman"/>
          <w:sz w:val="24"/>
          <w:szCs w:val="24"/>
          <w:lang w:val="en-US"/>
        </w:rPr>
        <w:t>R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ост </w:t>
      </w:r>
      <w:r>
        <w:rPr>
          <w:rFonts w:ascii="Times New Roman" w:hAnsi="Times New Roman" w:cs="Times New Roman"/>
          <w:sz w:val="24"/>
          <w:szCs w:val="24"/>
        </w:rPr>
        <w:t>= ∑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iNi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услуга </w:t>
      </w:r>
      <w:r>
        <w:rPr>
          <w:rFonts w:ascii="Times New Roman" w:hAnsi="Times New Roman" w:cs="Times New Roman"/>
          <w:sz w:val="24"/>
          <w:szCs w:val="24"/>
        </w:rPr>
        <w:t>+ ∑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wNW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работа</w:t>
      </w:r>
      <w:r>
        <w:rPr>
          <w:rFonts w:ascii="Times New Roman" w:hAnsi="Times New Roman" w:cs="Times New Roman"/>
          <w:sz w:val="24"/>
          <w:szCs w:val="24"/>
        </w:rPr>
        <w:t>, где: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N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i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услуга  </w:t>
      </w:r>
      <w:r>
        <w:rPr>
          <w:rFonts w:ascii="Times New Roman" w:hAnsi="Times New Roman" w:cs="Times New Roman"/>
          <w:sz w:val="24"/>
          <w:szCs w:val="24"/>
        </w:rPr>
        <w:t xml:space="preserve">- затраты, связанные с невыполнением муниципального задания по </w:t>
      </w:r>
      <w:r>
        <w:rPr>
          <w:rFonts w:ascii="Times New Roman" w:hAnsi="Times New Roman" w:cs="Times New Roman"/>
          <w:sz w:val="24"/>
          <w:szCs w:val="24"/>
          <w:lang w:val="en-US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 –ой муниципальной услуге, рублей;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N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w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работа </w:t>
      </w:r>
      <w:r>
        <w:rPr>
          <w:rFonts w:ascii="Times New Roman" w:hAnsi="Times New Roman" w:cs="Times New Roman"/>
          <w:sz w:val="24"/>
          <w:szCs w:val="24"/>
        </w:rPr>
        <w:t xml:space="preserve"> - затраты, связанные с невыполнением муниципального  задания по </w:t>
      </w:r>
      <w:r>
        <w:rPr>
          <w:rFonts w:ascii="Times New Roman" w:hAnsi="Times New Roman" w:cs="Times New Roman"/>
          <w:sz w:val="24"/>
          <w:szCs w:val="24"/>
          <w:lang w:val="en-US"/>
        </w:rPr>
        <w:t>w</w:t>
      </w:r>
      <w:r>
        <w:rPr>
          <w:rFonts w:ascii="Times New Roman" w:hAnsi="Times New Roman" w:cs="Times New Roman"/>
          <w:sz w:val="24"/>
          <w:szCs w:val="24"/>
        </w:rPr>
        <w:t>-ой муниципальной работе, рублей.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24.2. Затраты, связанные с невыполнением муниципального задания по </w:t>
      </w:r>
      <w:r>
        <w:rPr>
          <w:rFonts w:ascii="Times New Roman" w:hAnsi="Times New Roman" w:cs="Times New Roman"/>
          <w:sz w:val="24"/>
          <w:szCs w:val="24"/>
          <w:lang w:val="en-US"/>
        </w:rPr>
        <w:t>i</w:t>
      </w:r>
      <w:r>
        <w:rPr>
          <w:rFonts w:ascii="Times New Roman" w:hAnsi="Times New Roman" w:cs="Times New Roman"/>
          <w:sz w:val="24"/>
          <w:szCs w:val="24"/>
        </w:rPr>
        <w:t>-ой муниципальной услуге (</w:t>
      </w:r>
      <w:r>
        <w:rPr>
          <w:rFonts w:ascii="Times New Roman" w:hAnsi="Times New Roman" w:cs="Times New Roman"/>
          <w:sz w:val="24"/>
          <w:szCs w:val="24"/>
          <w:lang w:val="en-US"/>
        </w:rPr>
        <w:t>N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i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услуга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определяется по формуле: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sz w:val="24"/>
          <w:szCs w:val="24"/>
          <w:vertAlign w:val="superscript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N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i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услуга</w:t>
      </w:r>
      <w:r>
        <w:rPr>
          <w:rFonts w:ascii="Times New Roman" w:hAnsi="Times New Roman" w:cs="Times New Roman"/>
          <w:sz w:val="24"/>
          <w:szCs w:val="24"/>
        </w:rPr>
        <w:t xml:space="preserve"> = ∑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i</w:t>
      </w:r>
      <w:r>
        <w:rPr>
          <w:rFonts w:ascii="Times New Roman" w:hAnsi="Times New Roman" w:cs="Times New Roman"/>
          <w:sz w:val="24"/>
          <w:szCs w:val="24"/>
          <w:lang w:val="en-US"/>
        </w:rPr>
        <w:t>N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i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х </w:t>
      </w:r>
      <w:r>
        <w:rPr>
          <w:rFonts w:ascii="Times New Roman" w:hAnsi="Times New Roman" w:cs="Times New Roman"/>
          <w:sz w:val="24"/>
          <w:szCs w:val="24"/>
          <w:lang w:val="en-US"/>
        </w:rPr>
        <w:t>V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i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невып </w:t>
      </w:r>
      <w:r>
        <w:rPr>
          <w:rFonts w:ascii="Times New Roman" w:hAnsi="Times New Roman" w:cs="Times New Roman"/>
          <w:sz w:val="24"/>
          <w:szCs w:val="24"/>
        </w:rPr>
        <w:t xml:space="preserve"> - </w:t>
      </w:r>
      <w:r>
        <w:rPr>
          <w:rFonts w:ascii="Times New Roman" w:hAnsi="Times New Roman" w:cs="Times New Roman"/>
          <w:sz w:val="24"/>
          <w:szCs w:val="24"/>
          <w:lang w:val="en-US"/>
        </w:rPr>
        <w:t>P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i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x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V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i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невып </w:t>
      </w:r>
      <w:r>
        <w:rPr>
          <w:rFonts w:ascii="Times New Roman" w:hAnsi="Times New Roman" w:cs="Times New Roman"/>
          <w:sz w:val="24"/>
          <w:szCs w:val="24"/>
        </w:rPr>
        <w:t>, где: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N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i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– нормативные затраты на оказание </w:t>
      </w:r>
      <w:r>
        <w:rPr>
          <w:rFonts w:ascii="Times New Roman" w:hAnsi="Times New Roman" w:cs="Times New Roman"/>
          <w:sz w:val="24"/>
          <w:szCs w:val="24"/>
          <w:lang w:val="en-US"/>
        </w:rPr>
        <w:t>i</w:t>
      </w:r>
      <w:r>
        <w:rPr>
          <w:rFonts w:ascii="Times New Roman" w:hAnsi="Times New Roman" w:cs="Times New Roman"/>
          <w:sz w:val="24"/>
          <w:szCs w:val="24"/>
        </w:rPr>
        <w:t>-ой муниципальной услуги, рублей;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V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i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невып </w:t>
      </w:r>
      <w:r>
        <w:rPr>
          <w:rFonts w:ascii="Times New Roman" w:hAnsi="Times New Roman" w:cs="Times New Roman"/>
          <w:sz w:val="24"/>
          <w:szCs w:val="24"/>
        </w:rPr>
        <w:t xml:space="preserve">– значение показателя, характеризующее невыполненный объем </w:t>
      </w:r>
      <w:r>
        <w:rPr>
          <w:rFonts w:ascii="Times New Roman" w:hAnsi="Times New Roman" w:cs="Times New Roman"/>
          <w:sz w:val="24"/>
          <w:szCs w:val="24"/>
          <w:lang w:val="en-US"/>
        </w:rPr>
        <w:t>i</w:t>
      </w:r>
      <w:r>
        <w:rPr>
          <w:rFonts w:ascii="Times New Roman" w:hAnsi="Times New Roman" w:cs="Times New Roman"/>
          <w:sz w:val="24"/>
          <w:szCs w:val="24"/>
        </w:rPr>
        <w:t>-ой муниципальной услуги, в натуральных величинах;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Pi</w:t>
      </w:r>
      <w:r>
        <w:rPr>
          <w:rFonts w:ascii="Times New Roman" w:hAnsi="Times New Roman" w:cs="Times New Roman"/>
          <w:sz w:val="24"/>
          <w:szCs w:val="24"/>
        </w:rPr>
        <w:t xml:space="preserve"> – размер платы (тариф и цена) на оказание </w:t>
      </w:r>
      <w:r>
        <w:rPr>
          <w:rFonts w:ascii="Times New Roman" w:hAnsi="Times New Roman" w:cs="Times New Roman"/>
          <w:sz w:val="24"/>
          <w:szCs w:val="24"/>
          <w:lang w:val="en-US"/>
        </w:rPr>
        <w:t>i</w:t>
      </w:r>
      <w:r>
        <w:rPr>
          <w:rFonts w:ascii="Times New Roman" w:hAnsi="Times New Roman" w:cs="Times New Roman"/>
          <w:sz w:val="24"/>
          <w:szCs w:val="24"/>
        </w:rPr>
        <w:t>-ой муниципальной услуги, установленной муниципальным заданием, в натуральных показателях, Применяется в случае, если муниципальное учреждение осуществляет платную деятельность в рамках установленного муниципального задания, по которому в соответствии с законодательством предусмотрено взимание платы.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24.3. Показатель, характеризующий невыполненный объем </w:t>
      </w:r>
      <w:r>
        <w:rPr>
          <w:rFonts w:ascii="Times New Roman" w:hAnsi="Times New Roman" w:cs="Times New Roman"/>
          <w:sz w:val="24"/>
          <w:szCs w:val="24"/>
          <w:lang w:val="en-US"/>
        </w:rPr>
        <w:t>i</w:t>
      </w:r>
      <w:r>
        <w:rPr>
          <w:rFonts w:ascii="Times New Roman" w:hAnsi="Times New Roman" w:cs="Times New Roman"/>
          <w:sz w:val="24"/>
          <w:szCs w:val="24"/>
        </w:rPr>
        <w:t>-ой муниципальной услуги (</w:t>
      </w:r>
      <w:r>
        <w:rPr>
          <w:rFonts w:ascii="Times New Roman" w:hAnsi="Times New Roman" w:cs="Times New Roman"/>
          <w:sz w:val="24"/>
          <w:szCs w:val="24"/>
          <w:lang w:val="en-US"/>
        </w:rPr>
        <w:t>V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i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невып</w:t>
      </w:r>
      <w:r>
        <w:rPr>
          <w:rFonts w:ascii="Times New Roman" w:hAnsi="Times New Roman" w:cs="Times New Roman"/>
          <w:sz w:val="24"/>
          <w:szCs w:val="24"/>
        </w:rPr>
        <w:t>), определяется по следующей формуле: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V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i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невып </w:t>
      </w:r>
      <w:r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z w:val="24"/>
          <w:szCs w:val="24"/>
          <w:lang w:val="en-US"/>
        </w:rPr>
        <w:t>V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i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МЗ </w:t>
      </w:r>
      <w:r>
        <w:rPr>
          <w:rFonts w:ascii="Times New Roman" w:hAnsi="Times New Roman" w:cs="Times New Roman"/>
          <w:sz w:val="24"/>
          <w:szCs w:val="24"/>
        </w:rPr>
        <w:t xml:space="preserve"> - </w:t>
      </w:r>
      <w:r>
        <w:rPr>
          <w:rFonts w:ascii="Times New Roman" w:hAnsi="Times New Roman" w:cs="Times New Roman"/>
          <w:sz w:val="24"/>
          <w:szCs w:val="24"/>
          <w:lang w:val="en-US"/>
        </w:rPr>
        <w:t>V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i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откл </w:t>
      </w:r>
      <w:r>
        <w:rPr>
          <w:rFonts w:ascii="Times New Roman" w:hAnsi="Times New Roman" w:cs="Times New Roman"/>
          <w:sz w:val="24"/>
          <w:szCs w:val="24"/>
        </w:rPr>
        <w:t xml:space="preserve"> - </w:t>
      </w:r>
      <w:r>
        <w:rPr>
          <w:rFonts w:ascii="Times New Roman" w:hAnsi="Times New Roman" w:cs="Times New Roman"/>
          <w:sz w:val="24"/>
          <w:szCs w:val="24"/>
          <w:lang w:val="en-US"/>
        </w:rPr>
        <w:t>V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i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факт</w:t>
      </w:r>
      <w:r>
        <w:rPr>
          <w:rFonts w:ascii="Times New Roman" w:hAnsi="Times New Roman" w:cs="Times New Roman"/>
          <w:sz w:val="24"/>
          <w:szCs w:val="24"/>
        </w:rPr>
        <w:t>, где: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V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i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МЗ </w:t>
      </w:r>
      <w:r>
        <w:rPr>
          <w:rFonts w:ascii="Times New Roman" w:hAnsi="Times New Roman" w:cs="Times New Roman"/>
          <w:sz w:val="24"/>
          <w:szCs w:val="24"/>
        </w:rPr>
        <w:t xml:space="preserve"> - показатель объема </w:t>
      </w:r>
      <w:r>
        <w:rPr>
          <w:rFonts w:ascii="Times New Roman" w:hAnsi="Times New Roman" w:cs="Times New Roman"/>
          <w:sz w:val="24"/>
          <w:szCs w:val="24"/>
          <w:lang w:val="en-US"/>
        </w:rPr>
        <w:t>i</w:t>
      </w:r>
      <w:r>
        <w:rPr>
          <w:rFonts w:ascii="Times New Roman" w:hAnsi="Times New Roman" w:cs="Times New Roman"/>
          <w:sz w:val="24"/>
          <w:szCs w:val="24"/>
        </w:rPr>
        <w:t>-ой муниципальной услуги, установленный муниципальным заданием, в натуральных величинах;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V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i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откл </w:t>
      </w:r>
      <w:r>
        <w:rPr>
          <w:rFonts w:ascii="Times New Roman" w:hAnsi="Times New Roman" w:cs="Times New Roman"/>
          <w:sz w:val="24"/>
          <w:szCs w:val="24"/>
        </w:rPr>
        <w:t xml:space="preserve"> - допустимое (возможное) отклонение, установленное отраслевым управлением (отделом) администрации городского поселения Одинцово учреждению для </w:t>
      </w:r>
      <w:r>
        <w:rPr>
          <w:rFonts w:ascii="Times New Roman" w:hAnsi="Times New Roman" w:cs="Times New Roman"/>
          <w:sz w:val="24"/>
          <w:szCs w:val="24"/>
          <w:lang w:val="en-US"/>
        </w:rPr>
        <w:t>i</w:t>
      </w:r>
      <w:r>
        <w:rPr>
          <w:rFonts w:ascii="Times New Roman" w:hAnsi="Times New Roman" w:cs="Times New Roman"/>
          <w:sz w:val="24"/>
          <w:szCs w:val="24"/>
        </w:rPr>
        <w:t>-ой муниципальной услуги, в пределах которого муниципальное задание считается выполненным, в натуральных величинах;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V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i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факт </w:t>
      </w:r>
      <w:r>
        <w:rPr>
          <w:rFonts w:ascii="Times New Roman" w:hAnsi="Times New Roman" w:cs="Times New Roman"/>
          <w:sz w:val="24"/>
          <w:szCs w:val="24"/>
        </w:rPr>
        <w:t xml:space="preserve">– фактическое значение показателя объема </w:t>
      </w:r>
      <w:r>
        <w:rPr>
          <w:rFonts w:ascii="Times New Roman" w:hAnsi="Times New Roman" w:cs="Times New Roman"/>
          <w:sz w:val="24"/>
          <w:szCs w:val="24"/>
          <w:lang w:val="en-US"/>
        </w:rPr>
        <w:t>i</w:t>
      </w:r>
      <w:r>
        <w:rPr>
          <w:rFonts w:ascii="Times New Roman" w:hAnsi="Times New Roman" w:cs="Times New Roman"/>
          <w:sz w:val="24"/>
          <w:szCs w:val="24"/>
        </w:rPr>
        <w:t>-ой муниципальной услуги за отчетный период в соответствии с годовым отчетом о выполнении муниципального задания, в натуральных величинах.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24.4. Затраты,  связанные с невыполнением муниципального задания по </w:t>
      </w:r>
      <w:r>
        <w:rPr>
          <w:rFonts w:ascii="Times New Roman" w:hAnsi="Times New Roman" w:cs="Times New Roman"/>
          <w:sz w:val="24"/>
          <w:szCs w:val="24"/>
          <w:lang w:val="en-US"/>
        </w:rPr>
        <w:t>w</w:t>
      </w:r>
      <w:r>
        <w:rPr>
          <w:rFonts w:ascii="Times New Roman" w:hAnsi="Times New Roman" w:cs="Times New Roman"/>
          <w:sz w:val="24"/>
          <w:szCs w:val="24"/>
        </w:rPr>
        <w:t>-ой муниципальной работе (</w:t>
      </w:r>
      <w:r>
        <w:rPr>
          <w:rFonts w:ascii="Times New Roman" w:hAnsi="Times New Roman" w:cs="Times New Roman"/>
          <w:sz w:val="24"/>
          <w:szCs w:val="24"/>
          <w:lang w:val="en-US"/>
        </w:rPr>
        <w:t>N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w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работа</w:t>
      </w:r>
      <w:r>
        <w:rPr>
          <w:rFonts w:ascii="Times New Roman" w:hAnsi="Times New Roman" w:cs="Times New Roman"/>
          <w:sz w:val="24"/>
          <w:szCs w:val="24"/>
        </w:rPr>
        <w:t>), определяется по формуле: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N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w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работа </w:t>
      </w:r>
      <w:r>
        <w:rPr>
          <w:rFonts w:ascii="Times New Roman" w:hAnsi="Times New Roman" w:cs="Times New Roman"/>
          <w:sz w:val="24"/>
          <w:szCs w:val="24"/>
        </w:rPr>
        <w:t>= ∑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w</w:t>
      </w:r>
      <w:r>
        <w:rPr>
          <w:rFonts w:ascii="Times New Roman" w:hAnsi="Times New Roman" w:cs="Times New Roman"/>
          <w:sz w:val="24"/>
          <w:szCs w:val="24"/>
          <w:lang w:val="en-US"/>
        </w:rPr>
        <w:t>N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w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x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V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w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невып </w:t>
      </w:r>
      <w:r>
        <w:rPr>
          <w:rFonts w:ascii="Times New Roman" w:hAnsi="Times New Roman" w:cs="Times New Roman"/>
          <w:sz w:val="24"/>
          <w:szCs w:val="24"/>
        </w:rPr>
        <w:t xml:space="preserve"> - </w:t>
      </w:r>
      <w:r>
        <w:rPr>
          <w:rFonts w:ascii="Times New Roman" w:hAnsi="Times New Roman" w:cs="Times New Roman"/>
          <w:sz w:val="24"/>
          <w:szCs w:val="24"/>
          <w:lang w:val="en-US"/>
        </w:rPr>
        <w:t>P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w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x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V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w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ннвып</w:t>
      </w:r>
      <w:r>
        <w:rPr>
          <w:rFonts w:ascii="Times New Roman" w:hAnsi="Times New Roman" w:cs="Times New Roman"/>
          <w:sz w:val="24"/>
          <w:szCs w:val="24"/>
        </w:rPr>
        <w:t>, где: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N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w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– нормативные затраты на выполнение </w:t>
      </w:r>
      <w:r>
        <w:rPr>
          <w:rFonts w:ascii="Times New Roman" w:hAnsi="Times New Roman" w:cs="Times New Roman"/>
          <w:sz w:val="24"/>
          <w:szCs w:val="24"/>
          <w:lang w:val="en-US"/>
        </w:rPr>
        <w:t>w</w:t>
      </w:r>
      <w:r>
        <w:rPr>
          <w:rFonts w:ascii="Times New Roman" w:hAnsi="Times New Roman" w:cs="Times New Roman"/>
          <w:sz w:val="24"/>
          <w:szCs w:val="24"/>
        </w:rPr>
        <w:t>-ой муниципальной работы, рублей;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V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w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невып </w:t>
      </w:r>
      <w:r>
        <w:rPr>
          <w:rFonts w:ascii="Times New Roman" w:hAnsi="Times New Roman" w:cs="Times New Roman"/>
          <w:sz w:val="24"/>
          <w:szCs w:val="24"/>
        </w:rPr>
        <w:t xml:space="preserve"> - значение показателя, характеризующее невыполненный объем </w:t>
      </w:r>
      <w:r>
        <w:rPr>
          <w:rFonts w:ascii="Times New Roman" w:hAnsi="Times New Roman" w:cs="Times New Roman"/>
          <w:sz w:val="24"/>
          <w:szCs w:val="24"/>
          <w:lang w:val="en-US"/>
        </w:rPr>
        <w:t>w</w:t>
      </w:r>
      <w:r>
        <w:rPr>
          <w:rFonts w:ascii="Times New Roman" w:hAnsi="Times New Roman" w:cs="Times New Roman"/>
          <w:sz w:val="24"/>
          <w:szCs w:val="24"/>
        </w:rPr>
        <w:t>–ой муниципальной работы, в натуральных величинах;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P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w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- размер платы (тариф и цена) за выполнение </w:t>
      </w:r>
      <w:r>
        <w:rPr>
          <w:rFonts w:ascii="Times New Roman" w:hAnsi="Times New Roman" w:cs="Times New Roman"/>
          <w:sz w:val="24"/>
          <w:szCs w:val="24"/>
          <w:lang w:val="en-US"/>
        </w:rPr>
        <w:t>w</w:t>
      </w:r>
      <w:r>
        <w:rPr>
          <w:rFonts w:ascii="Times New Roman" w:hAnsi="Times New Roman" w:cs="Times New Roman"/>
          <w:sz w:val="24"/>
          <w:szCs w:val="24"/>
        </w:rPr>
        <w:t>–ой муниципальной работы, установленной муниципальным заданием, в натуральных показателях. Применяется в случае, если муниципальное учреждение осуществляет платную деятельность в рамках установленного муниципального задания, по которому в соответствии с законодательством предусмотрено взимание платы.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24.5. Невыполненный объем муниципального задания по </w:t>
      </w:r>
      <w:r>
        <w:rPr>
          <w:rFonts w:ascii="Times New Roman" w:hAnsi="Times New Roman" w:cs="Times New Roman"/>
          <w:sz w:val="24"/>
          <w:szCs w:val="24"/>
          <w:lang w:val="en-US"/>
        </w:rPr>
        <w:t>w</w:t>
      </w:r>
      <w:r>
        <w:rPr>
          <w:rFonts w:ascii="Times New Roman" w:hAnsi="Times New Roman" w:cs="Times New Roman"/>
          <w:sz w:val="24"/>
          <w:szCs w:val="24"/>
        </w:rPr>
        <w:t>-ой муниципальной работе (</w:t>
      </w:r>
      <w:r>
        <w:rPr>
          <w:rFonts w:ascii="Times New Roman" w:hAnsi="Times New Roman" w:cs="Times New Roman"/>
          <w:sz w:val="24"/>
          <w:szCs w:val="24"/>
          <w:lang w:val="en-US"/>
        </w:rPr>
        <w:t>V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w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невып</w:t>
      </w:r>
      <w:r>
        <w:rPr>
          <w:rFonts w:ascii="Times New Roman" w:hAnsi="Times New Roman" w:cs="Times New Roman"/>
          <w:sz w:val="24"/>
          <w:szCs w:val="24"/>
        </w:rPr>
        <w:t>), определяется по следующей формуле: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V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w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невып </w:t>
      </w:r>
      <w:r>
        <w:rPr>
          <w:rFonts w:ascii="Times New Roman" w:hAnsi="Times New Roman" w:cs="Times New Roman"/>
          <w:sz w:val="24"/>
          <w:szCs w:val="24"/>
        </w:rPr>
        <w:t xml:space="preserve"> = </w:t>
      </w:r>
      <w:r>
        <w:rPr>
          <w:rFonts w:ascii="Times New Roman" w:hAnsi="Times New Roman" w:cs="Times New Roman"/>
          <w:sz w:val="24"/>
          <w:szCs w:val="24"/>
          <w:lang w:val="en-US"/>
        </w:rPr>
        <w:t>V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w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МЗ </w:t>
      </w:r>
      <w:r>
        <w:rPr>
          <w:rFonts w:ascii="Times New Roman" w:hAnsi="Times New Roman" w:cs="Times New Roman"/>
          <w:sz w:val="24"/>
          <w:szCs w:val="24"/>
        </w:rPr>
        <w:t xml:space="preserve"> - </w:t>
      </w:r>
      <w:r>
        <w:rPr>
          <w:rFonts w:ascii="Times New Roman" w:hAnsi="Times New Roman" w:cs="Times New Roman"/>
          <w:sz w:val="24"/>
          <w:szCs w:val="24"/>
          <w:lang w:val="en-US"/>
        </w:rPr>
        <w:t>V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w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откл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>
        <w:rPr>
          <w:rFonts w:ascii="Times New Roman" w:hAnsi="Times New Roman" w:cs="Times New Roman"/>
          <w:sz w:val="24"/>
          <w:szCs w:val="24"/>
          <w:lang w:val="en-US"/>
        </w:rPr>
        <w:t>V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w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факт </w:t>
      </w:r>
      <w:r>
        <w:rPr>
          <w:rFonts w:ascii="Times New Roman" w:hAnsi="Times New Roman" w:cs="Times New Roman"/>
          <w:sz w:val="24"/>
          <w:szCs w:val="24"/>
        </w:rPr>
        <w:t>.где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V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w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МЗ </w:t>
      </w:r>
      <w:r>
        <w:rPr>
          <w:rFonts w:ascii="Times New Roman" w:hAnsi="Times New Roman" w:cs="Times New Roman"/>
          <w:sz w:val="24"/>
          <w:szCs w:val="24"/>
        </w:rPr>
        <w:t xml:space="preserve">– показатель объема </w:t>
      </w:r>
      <w:r>
        <w:rPr>
          <w:rFonts w:ascii="Times New Roman" w:hAnsi="Times New Roman" w:cs="Times New Roman"/>
          <w:sz w:val="24"/>
          <w:szCs w:val="24"/>
          <w:lang w:val="en-US"/>
        </w:rPr>
        <w:t>w</w:t>
      </w:r>
      <w:r>
        <w:rPr>
          <w:rFonts w:ascii="Times New Roman" w:hAnsi="Times New Roman" w:cs="Times New Roman"/>
          <w:sz w:val="24"/>
          <w:szCs w:val="24"/>
        </w:rPr>
        <w:t>–ой муниципальной работы, установленный муниципальным заданием, в натуральных величинах;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V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w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откл</w:t>
      </w:r>
      <w:r>
        <w:rPr>
          <w:rFonts w:ascii="Times New Roman" w:hAnsi="Times New Roman" w:cs="Times New Roman"/>
          <w:sz w:val="24"/>
          <w:szCs w:val="24"/>
        </w:rPr>
        <w:t xml:space="preserve"> – допустимое (возможное) отклонение, установленное отраслевыми управлениями (отделами) администрации городского поселения Одинцово для </w:t>
      </w:r>
      <w:r>
        <w:rPr>
          <w:rFonts w:ascii="Times New Roman" w:hAnsi="Times New Roman" w:cs="Times New Roman"/>
          <w:sz w:val="24"/>
          <w:szCs w:val="24"/>
          <w:lang w:val="en-US"/>
        </w:rPr>
        <w:t>w</w:t>
      </w:r>
      <w:r>
        <w:rPr>
          <w:rFonts w:ascii="Times New Roman" w:hAnsi="Times New Roman" w:cs="Times New Roman"/>
          <w:sz w:val="24"/>
          <w:szCs w:val="24"/>
        </w:rPr>
        <w:t>-ой муниципальной услуги, в пределах которого муниципальное задание считается выполненным, в натуральных величинах;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V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w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факт</w:t>
      </w:r>
      <w:r>
        <w:rPr>
          <w:rFonts w:ascii="Times New Roman" w:hAnsi="Times New Roman" w:cs="Times New Roman"/>
          <w:sz w:val="24"/>
          <w:szCs w:val="24"/>
        </w:rPr>
        <w:t xml:space="preserve"> – фактическое значение показателя объема </w:t>
      </w:r>
      <w:r>
        <w:rPr>
          <w:rFonts w:ascii="Times New Roman" w:hAnsi="Times New Roman" w:cs="Times New Roman"/>
          <w:sz w:val="24"/>
          <w:szCs w:val="24"/>
          <w:lang w:val="en-US"/>
        </w:rPr>
        <w:t>w</w:t>
      </w:r>
      <w:r>
        <w:rPr>
          <w:rFonts w:ascii="Times New Roman" w:hAnsi="Times New Roman" w:cs="Times New Roman"/>
          <w:sz w:val="24"/>
          <w:szCs w:val="24"/>
        </w:rPr>
        <w:t>-ой муниципальной работы за отчетный период в соответствии с годовым отчетом о выполнении муниципального задания,  в натуральных величинах.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25. Отраслевые управления (отделы) совместно с УЭФБУиО осуществляют расчет остатка субсидии на финансовое обеспечение выполнения муниципального задания и оказания муниципальных услуг (выполнения работ) в объеме, соответствующем не достигнутым в отчетном году показателям муниципального задания, характеризующим объем муниципальных услуг (работ), по форме согласно приложению № 3 к настоящему Порядку (далее – расчет).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26. Отраслевые управления (отделы) администрации городского поселения Одинцово на основании годового отчета о выполнении муниципального задания в целях выявления необходимости возврата муниципальным учреждением в бюджет городского поселения Одинцово Остатков субсидии: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а) не позднее 1 марта текущего года формирует: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расчет;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заключение об объемах субсидии на финансовое обеспечение выполнения муниципального задания на оказание муниципальных услуг (выполнение работ), подлежащих возврату в бюджет городского поселения Одинцово, по форме согласно приложению № 4 к настоящему Порядку (далее – заключение);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б) в течение 5  (пяти) рабочих дней со дня подписания руководителем отраслевого управления (отдела) заключения направляет его: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муниципальному учреждению;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УЭФБУиО – информацию о выявленных  фактах не достижения муниципальным учреждением информацию о выявленных фактах не достижения муниципальным учреждением показателей муниципального задания, характеризующих объем муниципальных услуг (работ) с приложением копий Решения.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 Муниципальное учреждение обеспечивает возврат средств в бюджет городского поселения Одинцово за счет средств, находящихся на лицевом счете, предназначенном для учета операций со средствами муниципального учреждения (за исключением субсидий на иные цели, а также субсидий на осуществление капитальных вложений в объекты капитального строительства муниципальной собственности, или приобретение объектов недвижимого имущества в муниципальную собственность, предоставленных муниципальному учреждению из бюджета городского поселения), открытых в территориальном органе Федерального казначейства в порядке, установленном Федеральным казначейством.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28. Основанием для досрочного прекращения выполнения муниципального задания являются: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ликвидация муниципального учреждения;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реорганизация муниципального учреждения;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перераспределение основных видов деятельности учреждения, повлекшее исключение из основных видов деятельности муниципального учреждения функций по оказанию муниципальной услуги (выполнению работы);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исключение муниципальной услуги (работы) из общероссийских перечней или регионального перечня; 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иные основания, предусмотренные нормативными правовыми актами.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Досрочное прекращение выполнение муниципального задания осуществляется по решению органа, осуществляющего функции и полномочия учредителя.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 досрочном прекращении выполнения муниципального задания по основаниям, определенным в пункте 28 настоящего Порядка, неиспользованные остатки субсидии, подлежат перечислению в бюджет городского поселения Одинцово.</w:t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  <w:sectPr>
          <w:pgSz w:w="11906" w:h="16838"/>
          <w:pgMar w:top="1134" w:right="567" w:bottom="1134" w:left="1134" w:header="709" w:footer="709" w:gutter="0"/>
          <w:cols w:space="708" w:num="1"/>
          <w:docGrid w:linePitch="360" w:charSpace="0"/>
        </w:sect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drawing>
          <wp:inline distT="0" distB="0" distL="0" distR="0">
            <wp:extent cx="9251950" cy="6541135"/>
            <wp:effectExtent l="0" t="0" r="6350" b="0"/>
            <wp:docPr id="1" name="Рисунок 1" descr="Y:\ПРИЕМНАЯ\РЕГИСТР\на публикацию\538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Y:\ПРИЕМНАЯ\РЕГИСТР\на публикацию\5380001.ti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54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drawing>
          <wp:inline distT="0" distB="0" distL="0" distR="0">
            <wp:extent cx="9251950" cy="6541135"/>
            <wp:effectExtent l="0" t="0" r="6350" b="0"/>
            <wp:docPr id="2" name="Рисунок 2" descr="Y:\ПРИЕМНАЯ\РЕГИСТР\на публикацию\538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Y:\ПРИЕМНАЯ\РЕГИСТР\на публикацию\5380002.tif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54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drawing>
          <wp:inline distT="0" distB="0" distL="0" distR="0">
            <wp:extent cx="9251950" cy="6541135"/>
            <wp:effectExtent l="0" t="0" r="6350" b="0"/>
            <wp:docPr id="3" name="Рисунок 3" descr="Y:\ПРИЕМНАЯ\РЕГИСТР\на публикацию\538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Y:\ПРИЕМНАЯ\РЕГИСТР\на публикацию\5380003.tif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54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drawing>
          <wp:inline distT="0" distB="0" distL="0" distR="0">
            <wp:extent cx="9251950" cy="6541135"/>
            <wp:effectExtent l="0" t="0" r="6350" b="0"/>
            <wp:docPr id="4" name="Рисунок 4" descr="Y:\ПРИЕМНАЯ\РЕГИСТР\на публикацию\538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Y:\ПРИЕМНАЯ\РЕГИСТР\на публикацию\5380004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54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drawing>
          <wp:inline distT="0" distB="0" distL="0" distR="0">
            <wp:extent cx="9251950" cy="6541135"/>
            <wp:effectExtent l="0" t="0" r="6350" b="0"/>
            <wp:docPr id="5" name="Рисунок 5" descr="Y:\ПРИЕМНАЯ\РЕГИСТР\на публикацию\5380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Y:\ПРИЕМНАЯ\РЕГИСТР\на публикацию\5380005.t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54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drawing>
          <wp:inline distT="0" distB="0" distL="0" distR="0">
            <wp:extent cx="9251950" cy="6541135"/>
            <wp:effectExtent l="0" t="0" r="6350" b="0"/>
            <wp:docPr id="6" name="Рисунок 6" descr="Y:\ПРИЕМНАЯ\РЕГИСТР\на публикацию\5380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Y:\ПРИЕМНАЯ\РЕГИСТР\на публикацию\5380006.ti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54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drawing>
          <wp:inline distT="0" distB="0" distL="0" distR="0">
            <wp:extent cx="9251950" cy="6541135"/>
            <wp:effectExtent l="0" t="0" r="6350" b="0"/>
            <wp:docPr id="7" name="Рисунок 7" descr="Y:\ПРИЕМНАЯ\РЕГИСТР\на публикацию\53800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 descr="Y:\ПРИЕМНАЯ\РЕГИСТР\на публикацию\5380007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54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drawing>
          <wp:inline distT="0" distB="0" distL="0" distR="0">
            <wp:extent cx="9251950" cy="6541135"/>
            <wp:effectExtent l="0" t="0" r="6350" b="0"/>
            <wp:docPr id="8" name="Рисунок 8" descr="Y:\ПРИЕМНАЯ\РЕГИСТР\на публикацию\53800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 descr="Y:\ПРИЕМНАЯ\РЕГИСТР\на публикацию\5380008.tif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54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drawing>
          <wp:inline distT="0" distB="0" distL="0" distR="0">
            <wp:extent cx="9251950" cy="6541135"/>
            <wp:effectExtent l="0" t="0" r="6350" b="0"/>
            <wp:docPr id="9" name="Рисунок 9" descr="Y:\ПРИЕМНАЯ\РЕГИСТР\на публикацию\53800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 descr="Y:\ПРИЕМНАЯ\РЕГИСТР\на публикацию\5380009.tif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54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/>
        <w:ind w:firstLine="54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№ 3</w:t>
      </w:r>
    </w:p>
    <w:p>
      <w:pPr>
        <w:widowControl w:val="0"/>
        <w:autoSpaceDE w:val="0"/>
        <w:autoSpaceDN w:val="0"/>
        <w:adjustRightInd w:val="0"/>
        <w:spacing w:after="0"/>
        <w:ind w:firstLine="54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Порядку формирования,</w:t>
      </w:r>
    </w:p>
    <w:p>
      <w:pPr>
        <w:widowControl w:val="0"/>
        <w:autoSpaceDE w:val="0"/>
        <w:autoSpaceDN w:val="0"/>
        <w:adjustRightInd w:val="0"/>
        <w:spacing w:after="0"/>
        <w:ind w:firstLine="54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финансового обеспечения и </w:t>
      </w:r>
    </w:p>
    <w:p>
      <w:pPr>
        <w:widowControl w:val="0"/>
        <w:autoSpaceDE w:val="0"/>
        <w:autoSpaceDN w:val="0"/>
        <w:adjustRightInd w:val="0"/>
        <w:spacing w:after="0"/>
        <w:ind w:firstLine="54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мониторинга выполнения</w:t>
      </w:r>
    </w:p>
    <w:p>
      <w:pPr>
        <w:widowControl w:val="0"/>
        <w:autoSpaceDE w:val="0"/>
        <w:autoSpaceDN w:val="0"/>
        <w:adjustRightInd w:val="0"/>
        <w:spacing w:after="0"/>
        <w:ind w:firstLine="54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муниципального задания</w:t>
      </w:r>
    </w:p>
    <w:p>
      <w:pPr>
        <w:jc w:val="right"/>
        <w:rPr>
          <w:rFonts w:cs="Times New Roman"/>
        </w:rPr>
      </w:pPr>
    </w:p>
    <w:p>
      <w:pPr>
        <w:rPr>
          <w:rFonts w:cs="Times New Roman"/>
        </w:rPr>
      </w:pPr>
    </w:p>
    <w:tbl>
      <w:tblPr>
        <w:tblStyle w:val="15"/>
        <w:tblW w:w="14786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71"/>
        <w:gridCol w:w="1964"/>
        <w:gridCol w:w="1416"/>
        <w:gridCol w:w="800"/>
        <w:gridCol w:w="1416"/>
        <w:gridCol w:w="800"/>
        <w:gridCol w:w="1416"/>
        <w:gridCol w:w="800"/>
        <w:gridCol w:w="1592"/>
        <w:gridCol w:w="1698"/>
        <w:gridCol w:w="161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271" w:type="dxa"/>
            <w:vMerge w:val="restart"/>
          </w:tcPr>
          <w:p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Уникальный номер реестровой записи</w:t>
            </w:r>
          </w:p>
        </w:tc>
        <w:tc>
          <w:tcPr>
            <w:tcW w:w="1964" w:type="dxa"/>
            <w:vMerge w:val="restart"/>
          </w:tcPr>
          <w:p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Наименование услуги (работы) в соответствии  c общероссийскими базовыми (отраслевыми) перечнями (классификаторами) государственных и (муниципальных) услуг и региональным перечнем (классификатором) муниципальных услуг не включенных в общероссийские базовые(отраслевые) перечнями (классификаторы) государственных и (муниципальных) услуг</w:t>
            </w:r>
          </w:p>
        </w:tc>
        <w:tc>
          <w:tcPr>
            <w:tcW w:w="2216" w:type="dxa"/>
            <w:gridSpan w:val="2"/>
          </w:tcPr>
          <w:p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Объём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-й муниципальной услуги (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w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-ой муниципальной работы), установленный муниципальным заданием в отчетном году (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V</w: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i</w:t>
            </w:r>
            <w:r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 xml:space="preserve">МЗ,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V</w: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w</w:t>
            </w:r>
            <w:r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МЗ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2216" w:type="dxa"/>
            <w:gridSpan w:val="2"/>
          </w:tcPr>
          <w:p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Допустимое (возможное) отклонение, установленное отраслевым Управлением (отделом) администрации городского поселения для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-й муниципальной услуги (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w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-ой работы), в пределах которого муниципальное задание считается выполненным (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V</w: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i</w:t>
            </w:r>
            <w:r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откл,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Vw</w:t>
            </w:r>
            <w:r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откл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2216" w:type="dxa"/>
            <w:gridSpan w:val="2"/>
          </w:tcPr>
          <w:p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Фактическое значение объёма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-ой  муниципальной услуги (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w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-ой работы) за отчетный период в соответствии с годовым отчётом о выполнении муниципального задания (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V</w: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i</w:t>
            </w:r>
            <w:r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факт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V</w: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w</w:t>
            </w:r>
            <w:r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факт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592" w:type="dxa"/>
          </w:tcPr>
          <w:p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Размер платы (тариф и цена) за оказание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-ой муниципальной услуги (выполнение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w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-ой работы), установленной муниципальным заданием </w:t>
            </w:r>
          </w:p>
        </w:tc>
        <w:tc>
          <w:tcPr>
            <w:tcW w:w="1698" w:type="dxa"/>
          </w:tcPr>
          <w:p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Значение показателя, характеризующее не выполненный объём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-ой муниципальной услуги (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w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-ой работы)</w:t>
            </w:r>
          </w:p>
        </w:tc>
        <w:tc>
          <w:tcPr>
            <w:tcW w:w="1613" w:type="dxa"/>
            <w:vMerge w:val="restart"/>
          </w:tcPr>
          <w:p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Объём субсидии на финансовое обеспечение выполнения муниципального задания на оказание муниципальных услуг (выполнение работ), подлежащий возврату в бюджет городского поселения Одинцово ***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271" w:type="dxa"/>
            <w:vMerge w:val="continue"/>
          </w:tcPr>
          <w:p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64" w:type="dxa"/>
            <w:vMerge w:val="continue"/>
          </w:tcPr>
          <w:p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6" w:type="dxa"/>
          </w:tcPr>
          <w:p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Значение показателя***</w:t>
            </w:r>
          </w:p>
        </w:tc>
        <w:tc>
          <w:tcPr>
            <w:tcW w:w="800" w:type="dxa"/>
          </w:tcPr>
          <w:p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рублей</w:t>
            </w:r>
          </w:p>
        </w:tc>
        <w:tc>
          <w:tcPr>
            <w:tcW w:w="1416" w:type="dxa"/>
          </w:tcPr>
          <w:p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Значение показателя***</w:t>
            </w:r>
          </w:p>
        </w:tc>
        <w:tc>
          <w:tcPr>
            <w:tcW w:w="800" w:type="dxa"/>
          </w:tcPr>
          <w:p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рублей</w:t>
            </w:r>
          </w:p>
        </w:tc>
        <w:tc>
          <w:tcPr>
            <w:tcW w:w="1416" w:type="dxa"/>
          </w:tcPr>
          <w:p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Значение показателя***</w:t>
            </w:r>
          </w:p>
        </w:tc>
        <w:tc>
          <w:tcPr>
            <w:tcW w:w="800" w:type="dxa"/>
          </w:tcPr>
          <w:p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рублей</w:t>
            </w:r>
          </w:p>
        </w:tc>
        <w:tc>
          <w:tcPr>
            <w:tcW w:w="1592" w:type="dxa"/>
          </w:tcPr>
          <w:p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98" w:type="dxa"/>
          </w:tcPr>
          <w:p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13" w:type="dxa"/>
            <w:vMerge w:val="continue"/>
          </w:tcPr>
          <w:p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271" w:type="dxa"/>
          </w:tcPr>
          <w:p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64" w:type="dxa"/>
          </w:tcPr>
          <w:p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6" w:type="dxa"/>
          </w:tcPr>
          <w:p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800" w:type="dxa"/>
          </w:tcPr>
          <w:p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416" w:type="dxa"/>
          </w:tcPr>
          <w:p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800" w:type="dxa"/>
          </w:tcPr>
          <w:p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416" w:type="dxa"/>
          </w:tcPr>
          <w:p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800" w:type="dxa"/>
          </w:tcPr>
          <w:p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592" w:type="dxa"/>
          </w:tcPr>
          <w:p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1698" w:type="dxa"/>
          </w:tcPr>
          <w:p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613" w:type="dxa"/>
          </w:tcPr>
          <w:p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11=4-6-8-(9х10)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271" w:type="dxa"/>
          </w:tcPr>
          <w:p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964" w:type="dxa"/>
          </w:tcPr>
          <w:p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Услуга 1</w:t>
            </w:r>
          </w:p>
        </w:tc>
        <w:tc>
          <w:tcPr>
            <w:tcW w:w="1416" w:type="dxa"/>
          </w:tcPr>
          <w:p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0" w:type="dxa"/>
          </w:tcPr>
          <w:p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416" w:type="dxa"/>
          </w:tcPr>
          <w:p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0" w:type="dxa"/>
          </w:tcPr>
          <w:p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416" w:type="dxa"/>
          </w:tcPr>
          <w:p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0" w:type="dxa"/>
          </w:tcPr>
          <w:p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592" w:type="dxa"/>
          </w:tcPr>
          <w:p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698" w:type="dxa"/>
          </w:tcPr>
          <w:p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613" w:type="dxa"/>
          </w:tcPr>
          <w:p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271" w:type="dxa"/>
          </w:tcPr>
          <w:p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964" w:type="dxa"/>
          </w:tcPr>
          <w:p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Услуга 2</w:t>
            </w:r>
          </w:p>
        </w:tc>
        <w:tc>
          <w:tcPr>
            <w:tcW w:w="1416" w:type="dxa"/>
          </w:tcPr>
          <w:p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0" w:type="dxa"/>
          </w:tcPr>
          <w:p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416" w:type="dxa"/>
          </w:tcPr>
          <w:p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0" w:type="dxa"/>
          </w:tcPr>
          <w:p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416" w:type="dxa"/>
          </w:tcPr>
          <w:p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0" w:type="dxa"/>
          </w:tcPr>
          <w:p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592" w:type="dxa"/>
          </w:tcPr>
          <w:p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698" w:type="dxa"/>
          </w:tcPr>
          <w:p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613" w:type="dxa"/>
          </w:tcPr>
          <w:p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</w:tbl>
    <w:p>
      <w:pPr>
        <w:rPr>
          <w:rFonts w:cs="Times New Roman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  <w:sectPr>
          <w:pgSz w:w="16838" w:h="11906" w:orient="landscape"/>
          <w:pgMar w:top="1134" w:right="1134" w:bottom="567" w:left="1134" w:header="709" w:footer="709" w:gutter="0"/>
          <w:cols w:space="708" w:num="1"/>
          <w:docGrid w:linePitch="360" w:charSpace="0"/>
        </w:sectPr>
      </w:pPr>
    </w:p>
    <w:p>
      <w:pPr>
        <w:widowControl w:val="0"/>
        <w:autoSpaceDE w:val="0"/>
        <w:autoSpaceDN w:val="0"/>
        <w:adjustRightInd w:val="0"/>
        <w:spacing w:after="0"/>
        <w:ind w:firstLine="54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№ 4</w:t>
      </w:r>
    </w:p>
    <w:p>
      <w:pPr>
        <w:widowControl w:val="0"/>
        <w:autoSpaceDE w:val="0"/>
        <w:autoSpaceDN w:val="0"/>
        <w:adjustRightInd w:val="0"/>
        <w:spacing w:after="0"/>
        <w:ind w:firstLine="54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Порядку формирования,</w:t>
      </w:r>
    </w:p>
    <w:p>
      <w:pPr>
        <w:widowControl w:val="0"/>
        <w:autoSpaceDE w:val="0"/>
        <w:autoSpaceDN w:val="0"/>
        <w:adjustRightInd w:val="0"/>
        <w:spacing w:after="0"/>
        <w:ind w:firstLine="54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финансового обеспечения и </w:t>
      </w:r>
    </w:p>
    <w:p>
      <w:pPr>
        <w:widowControl w:val="0"/>
        <w:autoSpaceDE w:val="0"/>
        <w:autoSpaceDN w:val="0"/>
        <w:adjustRightInd w:val="0"/>
        <w:spacing w:after="0"/>
        <w:ind w:firstLine="54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мониторинга выполнения</w:t>
      </w:r>
    </w:p>
    <w:p>
      <w:pPr>
        <w:widowControl w:val="0"/>
        <w:autoSpaceDE w:val="0"/>
        <w:autoSpaceDN w:val="0"/>
        <w:adjustRightInd w:val="0"/>
        <w:spacing w:after="0"/>
        <w:ind w:firstLine="54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муниципального задания</w:t>
      </w:r>
    </w:p>
    <w:p>
      <w:pPr>
        <w:widowControl w:val="0"/>
        <w:autoSpaceDE w:val="0"/>
        <w:autoSpaceDN w:val="0"/>
        <w:adjustRightInd w:val="0"/>
        <w:spacing w:after="0"/>
        <w:ind w:firstLine="54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Заключение</w:t>
      </w:r>
    </w:p>
    <w:p>
      <w:pPr>
        <w:widowControl w:val="0"/>
        <w:autoSpaceDE w:val="0"/>
        <w:autoSpaceDN w:val="0"/>
        <w:adjustRightInd w:val="0"/>
        <w:spacing w:after="0"/>
        <w:ind w:firstLine="54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об объемах субсидии на финансовое обеспечение выполнение </w:t>
      </w:r>
    </w:p>
    <w:p>
      <w:pPr>
        <w:widowControl w:val="0"/>
        <w:autoSpaceDE w:val="0"/>
        <w:autoSpaceDN w:val="0"/>
        <w:adjustRightInd w:val="0"/>
        <w:spacing w:after="0"/>
        <w:ind w:firstLine="54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муниципального задания на оказание муниципальных услуг</w:t>
      </w:r>
    </w:p>
    <w:p>
      <w:pPr>
        <w:widowControl w:val="0"/>
        <w:autoSpaceDE w:val="0"/>
        <w:autoSpaceDN w:val="0"/>
        <w:adjustRightInd w:val="0"/>
        <w:spacing w:after="0"/>
        <w:ind w:firstLine="54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(выполнение работ), подлежащих возврату в бюджет</w:t>
      </w:r>
    </w:p>
    <w:p>
      <w:pPr>
        <w:widowControl w:val="0"/>
        <w:autoSpaceDE w:val="0"/>
        <w:autoSpaceDN w:val="0"/>
        <w:adjustRightInd w:val="0"/>
        <w:spacing w:after="0"/>
        <w:ind w:firstLine="54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городского поселения Одинцово</w:t>
      </w:r>
    </w:p>
    <w:p>
      <w:pPr>
        <w:widowControl w:val="0"/>
        <w:autoSpaceDE w:val="0"/>
        <w:autoSpaceDN w:val="0"/>
        <w:adjustRightInd w:val="0"/>
        <w:spacing w:after="0"/>
        <w:ind w:firstLine="54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за____________год</w:t>
      </w:r>
    </w:p>
    <w:tbl>
      <w:tblPr>
        <w:tblStyle w:val="6"/>
        <w:tblW w:w="957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487"/>
        <w:gridCol w:w="308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487" w:type="dxa"/>
          </w:tcPr>
          <w:p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Дата составления</w:t>
            </w:r>
          </w:p>
        </w:tc>
        <w:tc>
          <w:tcPr>
            <w:tcW w:w="3083" w:type="dxa"/>
          </w:tcPr>
          <w:p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487" w:type="dxa"/>
          </w:tcPr>
          <w:p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Наименование органа, осуществляющего функции</w:t>
            </w:r>
          </w:p>
          <w:p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 полномочия учредителя</w:t>
            </w:r>
          </w:p>
        </w:tc>
        <w:tc>
          <w:tcPr>
            <w:tcW w:w="3083" w:type="dxa"/>
          </w:tcPr>
          <w:p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487" w:type="dxa"/>
          </w:tcPr>
          <w:p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Наименование учреждения</w:t>
            </w:r>
          </w:p>
        </w:tc>
        <w:tc>
          <w:tcPr>
            <w:tcW w:w="3083" w:type="dxa"/>
          </w:tcPr>
          <w:p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487" w:type="dxa"/>
          </w:tcPr>
          <w:p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Код по реестру участников бюджетного процесса, а также юридических лиц, не являющихся участниками бюджетного процесса</w:t>
            </w:r>
          </w:p>
        </w:tc>
        <w:tc>
          <w:tcPr>
            <w:tcW w:w="3083" w:type="dxa"/>
          </w:tcPr>
          <w:p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487" w:type="dxa"/>
          </w:tcPr>
          <w:p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Код классификации доходов бюджета городского поселения Одинцово</w:t>
            </w:r>
          </w:p>
        </w:tc>
        <w:tc>
          <w:tcPr>
            <w:tcW w:w="3083" w:type="dxa"/>
          </w:tcPr>
          <w:p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487" w:type="dxa"/>
          </w:tcPr>
          <w:p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Реквизиты заключенного соглашения на предоставление субсидии на финансовое обеспечение выполнения муниципального задания на оказание муниципальных услуг (выполнение работ)</w:t>
            </w:r>
          </w:p>
        </w:tc>
        <w:tc>
          <w:tcPr>
            <w:tcW w:w="3083" w:type="dxa"/>
          </w:tcPr>
          <w:p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487" w:type="dxa"/>
          </w:tcPr>
          <w:p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Объём субсидии на финансовое обеспечение выполнения муниципального задания, рассчитанный с учётом нормативных затрат, рублей</w:t>
            </w:r>
          </w:p>
        </w:tc>
        <w:tc>
          <w:tcPr>
            <w:tcW w:w="3083" w:type="dxa"/>
          </w:tcPr>
          <w:p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487" w:type="dxa"/>
          </w:tcPr>
          <w:p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Объём субсидии на финансовое обеспечение  выполнения муниципального задания, фактически перечисленный на счёт муниципального учреждения в отчётном финансовом году, рублей</w:t>
            </w:r>
          </w:p>
        </w:tc>
        <w:tc>
          <w:tcPr>
            <w:tcW w:w="3083" w:type="dxa"/>
          </w:tcPr>
          <w:p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487" w:type="dxa"/>
          </w:tcPr>
          <w:p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Объём остатка субсидии на финансовое обеспечение выполнения муниципального задания на оказание муниципальных услуг (выполнение работ), соответствующий не достигнутым в отчётном году показателям муниципального задания, характеризующим объём муниципальных услуг  (работ) и подлежащих возврату в бюджет городского поселения Одинцово</w:t>
            </w:r>
          </w:p>
        </w:tc>
        <w:tc>
          <w:tcPr>
            <w:tcW w:w="3083" w:type="dxa"/>
          </w:tcPr>
          <w:p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>
      <w:pPr>
        <w:widowControl w:val="0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Остаток субсидии на финансовое обеспечение выполнения муниципального задания на оказание муниципальных услуг (выполнение работ) в размере _____________________</w:t>
      </w:r>
    </w:p>
    <w:p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</w:t>
      </w:r>
    </w:p>
    <w:p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(сумма прописью, рублей)</w:t>
      </w:r>
    </w:p>
    <w:p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Подлежит возврату в бюджет городского поселения Одинцово не позднее «_____»________________20___г.</w:t>
      </w:r>
    </w:p>
    <w:p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Исполнение ___________  __________________  ________________</w:t>
      </w:r>
    </w:p>
    <w:p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(подпись)                (расшифровка подписи)                        (телефон)</w:t>
      </w:r>
    </w:p>
    <w:p>
      <w:pPr>
        <w:widowControl w:val="0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sectPr>
      <w:pgSz w:w="11906" w:h="16838"/>
      <w:pgMar w:top="1134" w:right="850" w:bottom="1134" w:left="1701" w:header="708" w:footer="708" w:gutter="0"/>
      <w:cols w:space="708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43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0"/>
    <w:family w:val="swiss"/>
    <w:pitch w:val="default"/>
    <w:sig w:usb0="E0002AFF" w:usb1="C0007843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AFF" w:usb1="C0007843" w:usb2="00000009" w:usb3="00000000" w:csb0="400001FF" w:csb1="FFFF0000"/>
  </w:font>
  <w:font w:name="SimHei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Calibri">
    <w:panose1 w:val="020F0502020204030204"/>
    <w:charset w:val="CC"/>
    <w:family w:val="swiss"/>
    <w:pitch w:val="default"/>
    <w:sig w:usb0="E00002FF" w:usb1="4000ACFF" w:usb2="00000001" w:usb3="00000000" w:csb0="2000019F" w:csb1="00000000"/>
  </w:font>
  <w:font w:name="Courier New">
    <w:panose1 w:val="02070309020205020404"/>
    <w:charset w:val="CC"/>
    <w:family w:val="modern"/>
    <w:pitch w:val="default"/>
    <w:sig w:usb0="E0002AFF" w:usb1="C0007843" w:usb2="00000009" w:usb3="00000000" w:csb0="400001FF" w:csb1="FFFF0000"/>
  </w:font>
  <w:font w:name="Arial">
    <w:panose1 w:val="020B0604020202020204"/>
    <w:charset w:val="CC"/>
    <w:family w:val="swiss"/>
    <w:pitch w:val="default"/>
    <w:sig w:usb0="E0002AFF" w:usb1="C0007843" w:usb2="00000009" w:usb3="00000000" w:csb0="400001FF" w:csb1="FFFF0000"/>
  </w:font>
  <w:font w:name="Tahoma">
    <w:panose1 w:val="020B0604030504040204"/>
    <w:charset w:val="CC"/>
    <w:family w:val="swiss"/>
    <w:pitch w:val="default"/>
    <w:sig w:usb0="E1002EFF" w:usb1="C000605B" w:usb2="00000029" w:usb3="00000000" w:csb0="200101FF" w:csb1="20280000"/>
  </w:font>
  <w:font w:name="Verdana">
    <w:panose1 w:val="020B0604030504040204"/>
    <w:charset w:val="CC"/>
    <w:family w:val="swiss"/>
    <w:pitch w:val="default"/>
    <w:sig w:usb0="A10006FF" w:usb1="4000205B" w:usb2="00000010" w:usb3="00000000" w:csb0="2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1044184"/>
    <w:multiLevelType w:val="multilevel"/>
    <w:tmpl w:val="51044184"/>
    <w:lvl w:ilvl="0" w:tentative="0">
      <w:start w:val="1"/>
      <w:numFmt w:val="decimal"/>
      <w:lvlText w:val="%1."/>
      <w:lvlJc w:val="left"/>
      <w:pPr>
        <w:ind w:left="2328" w:hanging="1335"/>
      </w:pPr>
      <w:rPr>
        <w:rFonts w:hint="default"/>
      </w:rPr>
    </w:lvl>
    <w:lvl w:ilvl="1" w:tentative="0">
      <w:start w:val="1"/>
      <w:numFmt w:val="lowerLetter"/>
      <w:lvlText w:val="%2."/>
      <w:lvlJc w:val="left"/>
      <w:pPr>
        <w:ind w:left="2073" w:hanging="360"/>
      </w:pPr>
    </w:lvl>
    <w:lvl w:ilvl="2" w:tentative="0">
      <w:start w:val="1"/>
      <w:numFmt w:val="lowerRoman"/>
      <w:lvlText w:val="%3."/>
      <w:lvlJc w:val="right"/>
      <w:pPr>
        <w:ind w:left="2793" w:hanging="180"/>
      </w:pPr>
    </w:lvl>
    <w:lvl w:ilvl="3" w:tentative="0">
      <w:start w:val="1"/>
      <w:numFmt w:val="decimal"/>
      <w:lvlText w:val="%4."/>
      <w:lvlJc w:val="left"/>
      <w:pPr>
        <w:ind w:left="3513" w:hanging="360"/>
      </w:pPr>
    </w:lvl>
    <w:lvl w:ilvl="4" w:tentative="0">
      <w:start w:val="1"/>
      <w:numFmt w:val="lowerLetter"/>
      <w:lvlText w:val="%5."/>
      <w:lvlJc w:val="left"/>
      <w:pPr>
        <w:ind w:left="4233" w:hanging="360"/>
      </w:pPr>
    </w:lvl>
    <w:lvl w:ilvl="5" w:tentative="0">
      <w:start w:val="1"/>
      <w:numFmt w:val="lowerRoman"/>
      <w:lvlText w:val="%6."/>
      <w:lvlJc w:val="right"/>
      <w:pPr>
        <w:ind w:left="4953" w:hanging="180"/>
      </w:pPr>
    </w:lvl>
    <w:lvl w:ilvl="6" w:tentative="0">
      <w:start w:val="1"/>
      <w:numFmt w:val="decimal"/>
      <w:lvlText w:val="%7."/>
      <w:lvlJc w:val="left"/>
      <w:pPr>
        <w:ind w:left="5673" w:hanging="360"/>
      </w:pPr>
    </w:lvl>
    <w:lvl w:ilvl="7" w:tentative="0">
      <w:start w:val="1"/>
      <w:numFmt w:val="lowerLetter"/>
      <w:lvlText w:val="%8."/>
      <w:lvlJc w:val="left"/>
      <w:pPr>
        <w:ind w:left="6393" w:hanging="360"/>
      </w:pPr>
    </w:lvl>
    <w:lvl w:ilvl="8" w:tentative="0">
      <w:start w:val="1"/>
      <w:numFmt w:val="lowerRoman"/>
      <w:lvlText w:val="%9."/>
      <w:lvlJc w:val="right"/>
      <w:pPr>
        <w:ind w:left="7113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 w:val="1"/>
  <w:embedSystemFonts/>
  <w:documentProtection w:enforcement="0"/>
  <w:defaultTabStop w:val="708"/>
  <w:doNotHyphenateCaps/>
  <w:characterSpacingControl w:val="doNotCompress"/>
  <w:doNotValidateAgainstSchema/>
  <w:doNotDemarcateInvalidXml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35777"/>
    <w:rsid w:val="0000579E"/>
    <w:rsid w:val="00015D7D"/>
    <w:rsid w:val="000447F5"/>
    <w:rsid w:val="00046486"/>
    <w:rsid w:val="00056F8D"/>
    <w:rsid w:val="00066D0B"/>
    <w:rsid w:val="00076565"/>
    <w:rsid w:val="000904BB"/>
    <w:rsid w:val="000915A4"/>
    <w:rsid w:val="000A157B"/>
    <w:rsid w:val="000A1686"/>
    <w:rsid w:val="000A4599"/>
    <w:rsid w:val="000C3730"/>
    <w:rsid w:val="000C51A6"/>
    <w:rsid w:val="000C7524"/>
    <w:rsid w:val="000D0D94"/>
    <w:rsid w:val="000E5FE6"/>
    <w:rsid w:val="001006AD"/>
    <w:rsid w:val="001022E9"/>
    <w:rsid w:val="001024E4"/>
    <w:rsid w:val="00104C14"/>
    <w:rsid w:val="00125AFE"/>
    <w:rsid w:val="0013266F"/>
    <w:rsid w:val="0015051E"/>
    <w:rsid w:val="0015270A"/>
    <w:rsid w:val="001570A5"/>
    <w:rsid w:val="00160AB8"/>
    <w:rsid w:val="0016434A"/>
    <w:rsid w:val="00170617"/>
    <w:rsid w:val="001734A9"/>
    <w:rsid w:val="00180E96"/>
    <w:rsid w:val="001923CC"/>
    <w:rsid w:val="00193C37"/>
    <w:rsid w:val="001A1E58"/>
    <w:rsid w:val="001A4E89"/>
    <w:rsid w:val="001A5C2C"/>
    <w:rsid w:val="001A63D8"/>
    <w:rsid w:val="001A75E0"/>
    <w:rsid w:val="001B0175"/>
    <w:rsid w:val="001B189A"/>
    <w:rsid w:val="001D08B8"/>
    <w:rsid w:val="001D4ABC"/>
    <w:rsid w:val="001F6C7F"/>
    <w:rsid w:val="00217597"/>
    <w:rsid w:val="002451C6"/>
    <w:rsid w:val="002479B4"/>
    <w:rsid w:val="00256F75"/>
    <w:rsid w:val="00260DFA"/>
    <w:rsid w:val="0027084C"/>
    <w:rsid w:val="00272FC3"/>
    <w:rsid w:val="0027449C"/>
    <w:rsid w:val="00284345"/>
    <w:rsid w:val="0029045D"/>
    <w:rsid w:val="00291AE6"/>
    <w:rsid w:val="00293693"/>
    <w:rsid w:val="002966E7"/>
    <w:rsid w:val="00296D6A"/>
    <w:rsid w:val="00297491"/>
    <w:rsid w:val="002C0301"/>
    <w:rsid w:val="002D2EE1"/>
    <w:rsid w:val="002D3C30"/>
    <w:rsid w:val="002D5872"/>
    <w:rsid w:val="002F1A3E"/>
    <w:rsid w:val="002F6B5C"/>
    <w:rsid w:val="00330130"/>
    <w:rsid w:val="00335FF5"/>
    <w:rsid w:val="00337A0B"/>
    <w:rsid w:val="0034148F"/>
    <w:rsid w:val="00361BC3"/>
    <w:rsid w:val="00370513"/>
    <w:rsid w:val="0037364D"/>
    <w:rsid w:val="00373CDE"/>
    <w:rsid w:val="00374183"/>
    <w:rsid w:val="00374409"/>
    <w:rsid w:val="003746E3"/>
    <w:rsid w:val="003942AC"/>
    <w:rsid w:val="003961BD"/>
    <w:rsid w:val="003C61A2"/>
    <w:rsid w:val="003D04CA"/>
    <w:rsid w:val="003D7E4B"/>
    <w:rsid w:val="00430ACD"/>
    <w:rsid w:val="004361AE"/>
    <w:rsid w:val="00441F1D"/>
    <w:rsid w:val="004527EF"/>
    <w:rsid w:val="00466F70"/>
    <w:rsid w:val="00471AAF"/>
    <w:rsid w:val="00472934"/>
    <w:rsid w:val="004A2889"/>
    <w:rsid w:val="004D0929"/>
    <w:rsid w:val="004D0CDE"/>
    <w:rsid w:val="004D628D"/>
    <w:rsid w:val="00500FC9"/>
    <w:rsid w:val="00506895"/>
    <w:rsid w:val="0051451B"/>
    <w:rsid w:val="00526AB2"/>
    <w:rsid w:val="00531DFC"/>
    <w:rsid w:val="00537F95"/>
    <w:rsid w:val="005403AD"/>
    <w:rsid w:val="00547CD8"/>
    <w:rsid w:val="00571109"/>
    <w:rsid w:val="005930B4"/>
    <w:rsid w:val="00594049"/>
    <w:rsid w:val="005A45D4"/>
    <w:rsid w:val="005A7DAD"/>
    <w:rsid w:val="005B4EED"/>
    <w:rsid w:val="005B71E6"/>
    <w:rsid w:val="005E1B48"/>
    <w:rsid w:val="005F1448"/>
    <w:rsid w:val="005F5409"/>
    <w:rsid w:val="00616BAA"/>
    <w:rsid w:val="006207F7"/>
    <w:rsid w:val="00620A98"/>
    <w:rsid w:val="00637E3D"/>
    <w:rsid w:val="00645043"/>
    <w:rsid w:val="00672A6E"/>
    <w:rsid w:val="00675D1A"/>
    <w:rsid w:val="00683D5C"/>
    <w:rsid w:val="00692288"/>
    <w:rsid w:val="0069244C"/>
    <w:rsid w:val="00693C0A"/>
    <w:rsid w:val="00694A07"/>
    <w:rsid w:val="006A52F8"/>
    <w:rsid w:val="006B16DC"/>
    <w:rsid w:val="006B4180"/>
    <w:rsid w:val="006B7382"/>
    <w:rsid w:val="006C3E56"/>
    <w:rsid w:val="006C4174"/>
    <w:rsid w:val="006D2BB0"/>
    <w:rsid w:val="006D2EB5"/>
    <w:rsid w:val="006D7B1F"/>
    <w:rsid w:val="0070181F"/>
    <w:rsid w:val="00712D12"/>
    <w:rsid w:val="00713DA1"/>
    <w:rsid w:val="0072527A"/>
    <w:rsid w:val="00730CA3"/>
    <w:rsid w:val="0073249B"/>
    <w:rsid w:val="0073424F"/>
    <w:rsid w:val="007429E7"/>
    <w:rsid w:val="007548E1"/>
    <w:rsid w:val="00757870"/>
    <w:rsid w:val="0076394A"/>
    <w:rsid w:val="00763C63"/>
    <w:rsid w:val="00764FEB"/>
    <w:rsid w:val="007651E1"/>
    <w:rsid w:val="00766115"/>
    <w:rsid w:val="00770567"/>
    <w:rsid w:val="00771D4F"/>
    <w:rsid w:val="0077250A"/>
    <w:rsid w:val="007727A6"/>
    <w:rsid w:val="00774793"/>
    <w:rsid w:val="007770B2"/>
    <w:rsid w:val="007803F5"/>
    <w:rsid w:val="00797159"/>
    <w:rsid w:val="007A728F"/>
    <w:rsid w:val="007B00A0"/>
    <w:rsid w:val="007B7D3E"/>
    <w:rsid w:val="007C74C1"/>
    <w:rsid w:val="007D062F"/>
    <w:rsid w:val="007D0861"/>
    <w:rsid w:val="007D437D"/>
    <w:rsid w:val="007D7813"/>
    <w:rsid w:val="00804D43"/>
    <w:rsid w:val="00814CC2"/>
    <w:rsid w:val="00834AE1"/>
    <w:rsid w:val="008469D2"/>
    <w:rsid w:val="00856C9E"/>
    <w:rsid w:val="00862EC9"/>
    <w:rsid w:val="008773C4"/>
    <w:rsid w:val="00894A7C"/>
    <w:rsid w:val="008A31EB"/>
    <w:rsid w:val="008A4FB7"/>
    <w:rsid w:val="008B0A37"/>
    <w:rsid w:val="008B7E47"/>
    <w:rsid w:val="008C1E33"/>
    <w:rsid w:val="008C5D22"/>
    <w:rsid w:val="008F3340"/>
    <w:rsid w:val="0090106C"/>
    <w:rsid w:val="009035B9"/>
    <w:rsid w:val="00905A08"/>
    <w:rsid w:val="009373AD"/>
    <w:rsid w:val="00944AB2"/>
    <w:rsid w:val="009469E9"/>
    <w:rsid w:val="0096136E"/>
    <w:rsid w:val="009643A3"/>
    <w:rsid w:val="00976866"/>
    <w:rsid w:val="0098497E"/>
    <w:rsid w:val="009D09F0"/>
    <w:rsid w:val="009E06AB"/>
    <w:rsid w:val="009E1841"/>
    <w:rsid w:val="009E6C0C"/>
    <w:rsid w:val="009F09DF"/>
    <w:rsid w:val="009F7278"/>
    <w:rsid w:val="00A14CF1"/>
    <w:rsid w:val="00A20586"/>
    <w:rsid w:val="00A208E2"/>
    <w:rsid w:val="00A25E5C"/>
    <w:rsid w:val="00A41171"/>
    <w:rsid w:val="00A41D82"/>
    <w:rsid w:val="00A55D36"/>
    <w:rsid w:val="00A674F0"/>
    <w:rsid w:val="00A876AE"/>
    <w:rsid w:val="00AA5DAB"/>
    <w:rsid w:val="00AB5BAD"/>
    <w:rsid w:val="00B127CA"/>
    <w:rsid w:val="00B14768"/>
    <w:rsid w:val="00B34A8E"/>
    <w:rsid w:val="00B370D5"/>
    <w:rsid w:val="00B7294D"/>
    <w:rsid w:val="00B92B88"/>
    <w:rsid w:val="00BA0803"/>
    <w:rsid w:val="00BA251D"/>
    <w:rsid w:val="00BB42A0"/>
    <w:rsid w:val="00C0215E"/>
    <w:rsid w:val="00C13EAC"/>
    <w:rsid w:val="00C145CE"/>
    <w:rsid w:val="00C17A58"/>
    <w:rsid w:val="00C31089"/>
    <w:rsid w:val="00C35777"/>
    <w:rsid w:val="00C36A67"/>
    <w:rsid w:val="00C43BC2"/>
    <w:rsid w:val="00C45E44"/>
    <w:rsid w:val="00C73BF9"/>
    <w:rsid w:val="00C74DFC"/>
    <w:rsid w:val="00C75FFF"/>
    <w:rsid w:val="00C85972"/>
    <w:rsid w:val="00C912E8"/>
    <w:rsid w:val="00CB7259"/>
    <w:rsid w:val="00CC0227"/>
    <w:rsid w:val="00CC035F"/>
    <w:rsid w:val="00CD2C3C"/>
    <w:rsid w:val="00CE397C"/>
    <w:rsid w:val="00CE68EA"/>
    <w:rsid w:val="00CE6911"/>
    <w:rsid w:val="00CF246B"/>
    <w:rsid w:val="00CF2920"/>
    <w:rsid w:val="00D0227D"/>
    <w:rsid w:val="00D073CA"/>
    <w:rsid w:val="00D178C7"/>
    <w:rsid w:val="00D245EB"/>
    <w:rsid w:val="00D32189"/>
    <w:rsid w:val="00D4350A"/>
    <w:rsid w:val="00D43BF1"/>
    <w:rsid w:val="00D44298"/>
    <w:rsid w:val="00D50C04"/>
    <w:rsid w:val="00D53397"/>
    <w:rsid w:val="00D714F8"/>
    <w:rsid w:val="00D92A79"/>
    <w:rsid w:val="00D95458"/>
    <w:rsid w:val="00DA08B3"/>
    <w:rsid w:val="00DA642D"/>
    <w:rsid w:val="00DB19D9"/>
    <w:rsid w:val="00DB3C34"/>
    <w:rsid w:val="00DC0B4B"/>
    <w:rsid w:val="00DC3692"/>
    <w:rsid w:val="00DC4C6D"/>
    <w:rsid w:val="00DC74E7"/>
    <w:rsid w:val="00DF00DC"/>
    <w:rsid w:val="00DF0579"/>
    <w:rsid w:val="00DF2E73"/>
    <w:rsid w:val="00DF52DB"/>
    <w:rsid w:val="00E10748"/>
    <w:rsid w:val="00E12DDB"/>
    <w:rsid w:val="00E40B96"/>
    <w:rsid w:val="00E45F5E"/>
    <w:rsid w:val="00E51B12"/>
    <w:rsid w:val="00E523BA"/>
    <w:rsid w:val="00E56E0F"/>
    <w:rsid w:val="00E6075A"/>
    <w:rsid w:val="00E63E19"/>
    <w:rsid w:val="00E65A5C"/>
    <w:rsid w:val="00EB7B52"/>
    <w:rsid w:val="00EC585A"/>
    <w:rsid w:val="00ED4088"/>
    <w:rsid w:val="00EF27F0"/>
    <w:rsid w:val="00EF421A"/>
    <w:rsid w:val="00F00678"/>
    <w:rsid w:val="00F01809"/>
    <w:rsid w:val="00F13B21"/>
    <w:rsid w:val="00F15E5A"/>
    <w:rsid w:val="00F16750"/>
    <w:rsid w:val="00F24808"/>
    <w:rsid w:val="00F24888"/>
    <w:rsid w:val="00F41074"/>
    <w:rsid w:val="00F41B8A"/>
    <w:rsid w:val="00F44914"/>
    <w:rsid w:val="00F44C4A"/>
    <w:rsid w:val="00F66306"/>
    <w:rsid w:val="00F66F47"/>
    <w:rsid w:val="00F6736A"/>
    <w:rsid w:val="00F74C73"/>
    <w:rsid w:val="00F77B66"/>
    <w:rsid w:val="00F90387"/>
    <w:rsid w:val="00FA2A14"/>
    <w:rsid w:val="00FA470B"/>
    <w:rsid w:val="00FB04ED"/>
    <w:rsid w:val="00FD14B3"/>
    <w:rsid w:val="00FD536D"/>
    <w:rsid w:val="00FE7788"/>
    <w:rsid w:val="00FF12BD"/>
    <w:rsid w:val="00FF3F95"/>
    <w:rsid w:val="00FF4B0E"/>
    <w:rsid w:val="375270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Calibri" w:hAnsi="Calibri" w:eastAsia="Calibri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 w:locked="1"/>
    <w:lsdException w:qFormat="1" w:uiPriority="0" w:name="heading 2" w:locked="1"/>
    <w:lsdException w:qFormat="1" w:uiPriority="0" w:name="heading 3" w:locked="1"/>
    <w:lsdException w:qFormat="1" w:uiPriority="0" w:name="heading 4" w:locked="1"/>
    <w:lsdException w:qFormat="1" w:uiPriority="0" w:name="heading 5" w:locked="1"/>
    <w:lsdException w:qFormat="1" w:uiPriority="0" w:name="heading 6" w:locked="1"/>
    <w:lsdException w:qFormat="1" w:uiPriority="0" w:name="heading 7" w:locked="1"/>
    <w:lsdException w:qFormat="1" w:uiPriority="0" w:name="heading 8" w:locked="1"/>
    <w:lsdException w:qFormat="1" w:uiPriority="0" w:name="heading 9" w:locked="1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nhideWhenUsed="0" w:uiPriority="0" w:semiHidden="0" w:name="toc 1" w:locked="1"/>
    <w:lsdException w:unhideWhenUsed="0" w:uiPriority="0" w:semiHidden="0" w:name="toc 2" w:locked="1"/>
    <w:lsdException w:unhideWhenUsed="0" w:uiPriority="0" w:semiHidden="0" w:name="toc 3" w:locked="1"/>
    <w:lsdException w:unhideWhenUsed="0" w:uiPriority="0" w:semiHidden="0" w:name="toc 4" w:locked="1"/>
    <w:lsdException w:unhideWhenUsed="0" w:uiPriority="0" w:semiHidden="0" w:name="toc 5" w:locked="1"/>
    <w:lsdException w:unhideWhenUsed="0" w:uiPriority="0" w:semiHidden="0" w:name="toc 6" w:locked="1"/>
    <w:lsdException w:unhideWhenUsed="0" w:uiPriority="0" w:semiHidden="0" w:name="toc 7" w:locked="1"/>
    <w:lsdException w:unhideWhenUsed="0" w:uiPriority="0" w:semiHidden="0" w:name="toc 8" w:locked="1"/>
    <w:lsdException w:unhideWhenUsed="0" w:uiPriority="0" w:semiHidden="0" w:name="toc 9" w:locked="1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0" w:name="caption" w:locked="1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 w:locked="1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 w:locked="1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semiHidden="0" w:name="Hyperlink"/>
    <w:lsdException w:uiPriority="99" w:name="FollowedHyperlink"/>
    <w:lsdException w:qFormat="1" w:unhideWhenUsed="0" w:uiPriority="0" w:semiHidden="0" w:name="Strong" w:locked="1"/>
    <w:lsdException w:qFormat="1" w:unhideWhenUsed="0" w:uiPriority="0" w:semiHidden="0" w:name="Emphasis" w:locked="1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99" w:semiHidden="0" w:name="Table Grid" w:locked="1"/>
    <w:lsdException w:uiPriority="99" w:name="Table Theme"/>
    <w:lsdException w:qFormat="1" w:unhideWhenUsed="0" w:uiPriority="34" w:semiHidden="0" w:name="List Paragraph"/>
  </w:latentStyles>
  <w:style w:type="paragraph" w:default="1" w:styleId="1">
    <w:name w:val="Normal"/>
    <w:qFormat/>
    <w:uiPriority w:val="0"/>
    <w:pPr>
      <w:spacing w:after="200" w:line="276" w:lineRule="auto"/>
    </w:pPr>
    <w:rPr>
      <w:rFonts w:ascii="Calibri" w:hAnsi="Calibri" w:eastAsia="Calibri" w:cs="Calibri"/>
      <w:sz w:val="22"/>
      <w:szCs w:val="22"/>
      <w:lang w:val="ru-RU" w:eastAsia="en-US" w:bidi="ar-SA"/>
    </w:rPr>
  </w:style>
  <w:style w:type="character" w:default="1" w:styleId="3">
    <w:name w:val="Default Paragraph Font"/>
    <w:semiHidden/>
    <w:unhideWhenUsed/>
    <w:uiPriority w:val="1"/>
  </w:style>
  <w:style w:type="table" w:default="1" w:styleId="5">
    <w:name w:val="Normal Table"/>
    <w:semiHidden/>
    <w:unhideWhenUsed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3"/>
    <w:semiHidden/>
    <w:unhideWhenUsed/>
    <w:uiPriority w:val="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styleId="4">
    <w:name w:val="Hyperlink"/>
    <w:basedOn w:val="3"/>
    <w:unhideWhenUsed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table" w:styleId="6">
    <w:name w:val="Table Grid"/>
    <w:basedOn w:val="5"/>
    <w:locked/>
    <w:uiPriority w:val="99"/>
    <w:rPr>
      <w:rFonts w:cs="Calibri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7">
    <w:name w:val="ConsPlusNonformat"/>
    <w:uiPriority w:val="99"/>
    <w:pPr>
      <w:widowControl w:val="0"/>
      <w:autoSpaceDE w:val="0"/>
      <w:autoSpaceDN w:val="0"/>
      <w:adjustRightInd w:val="0"/>
    </w:pPr>
    <w:rPr>
      <w:rFonts w:ascii="Courier New" w:hAnsi="Courier New" w:eastAsia="Times New Roman" w:cs="Courier New"/>
      <w:lang w:val="ru-RU" w:eastAsia="ru-RU" w:bidi="ar-SA"/>
    </w:rPr>
  </w:style>
  <w:style w:type="paragraph" w:customStyle="1" w:styleId="8">
    <w:name w:val="ConsPlusTitle"/>
    <w:uiPriority w:val="99"/>
    <w:pPr>
      <w:widowControl w:val="0"/>
      <w:autoSpaceDE w:val="0"/>
      <w:autoSpaceDN w:val="0"/>
      <w:adjustRightInd w:val="0"/>
    </w:pPr>
    <w:rPr>
      <w:rFonts w:ascii="Calibri" w:hAnsi="Calibri" w:eastAsia="Times New Roman" w:cs="Calibri"/>
      <w:b/>
      <w:bCs/>
      <w:sz w:val="22"/>
      <w:szCs w:val="22"/>
      <w:lang w:val="ru-RU" w:eastAsia="ru-RU" w:bidi="ar-SA"/>
    </w:rPr>
  </w:style>
  <w:style w:type="paragraph" w:customStyle="1" w:styleId="9">
    <w:name w:val="ConsPlusCell"/>
    <w:uiPriority w:val="99"/>
    <w:pPr>
      <w:widowControl w:val="0"/>
      <w:autoSpaceDE w:val="0"/>
      <w:autoSpaceDN w:val="0"/>
      <w:adjustRightInd w:val="0"/>
    </w:pPr>
    <w:rPr>
      <w:rFonts w:ascii="Arial" w:hAnsi="Arial" w:eastAsia="Times New Roman" w:cs="Arial"/>
      <w:lang w:val="ru-RU" w:eastAsia="ru-RU" w:bidi="ar-SA"/>
    </w:rPr>
  </w:style>
  <w:style w:type="paragraph" w:customStyle="1" w:styleId="10">
    <w:name w:val="ConsPlusNormal"/>
    <w:uiPriority w:val="0"/>
    <w:pPr>
      <w:widowControl w:val="0"/>
      <w:autoSpaceDE w:val="0"/>
      <w:autoSpaceDN w:val="0"/>
      <w:adjustRightInd w:val="0"/>
      <w:ind w:firstLine="720"/>
    </w:pPr>
    <w:rPr>
      <w:rFonts w:ascii="Arial" w:hAnsi="Arial" w:eastAsia="Calibri" w:cs="Arial"/>
      <w:lang w:val="ru-RU" w:eastAsia="ru-RU" w:bidi="ar-SA"/>
    </w:rPr>
  </w:style>
  <w:style w:type="character" w:customStyle="1" w:styleId="11">
    <w:name w:val="Font Style12"/>
    <w:uiPriority w:val="99"/>
    <w:rPr>
      <w:rFonts w:ascii="Times New Roman" w:hAnsi="Times New Roman" w:cs="Times New Roman"/>
      <w:sz w:val="26"/>
      <w:szCs w:val="26"/>
    </w:rPr>
  </w:style>
  <w:style w:type="paragraph" w:styleId="12">
    <w:name w:val="List Paragraph"/>
    <w:basedOn w:val="1"/>
    <w:qFormat/>
    <w:uiPriority w:val="34"/>
    <w:pPr>
      <w:ind w:left="720"/>
      <w:contextualSpacing/>
    </w:pPr>
    <w:rPr>
      <w:rFonts w:cs="Times New Roman"/>
    </w:rPr>
  </w:style>
  <w:style w:type="character" w:customStyle="1" w:styleId="13">
    <w:name w:val="Текст выноски Знак"/>
    <w:basedOn w:val="3"/>
    <w:link w:val="2"/>
    <w:semiHidden/>
    <w:uiPriority w:val="99"/>
    <w:rPr>
      <w:rFonts w:ascii="Tahoma" w:hAnsi="Tahoma" w:cs="Tahoma"/>
      <w:sz w:val="16"/>
      <w:szCs w:val="16"/>
      <w:lang w:eastAsia="en-US"/>
    </w:rPr>
  </w:style>
  <w:style w:type="paragraph" w:customStyle="1" w:styleId="14">
    <w:name w:val="Знак Знак Знак Знак"/>
    <w:basedOn w:val="1"/>
    <w:uiPriority w:val="0"/>
    <w:pPr>
      <w:tabs>
        <w:tab w:val="left" w:pos="1287"/>
      </w:tabs>
      <w:spacing w:after="160" w:line="240" w:lineRule="exact"/>
      <w:ind w:left="1287" w:hanging="360"/>
      <w:jc w:val="both"/>
    </w:pPr>
    <w:rPr>
      <w:rFonts w:ascii="Verdana" w:hAnsi="Verdana" w:eastAsia="Times New Roman" w:cs="Arial"/>
      <w:sz w:val="20"/>
      <w:szCs w:val="20"/>
      <w:lang w:val="en-US"/>
    </w:rPr>
  </w:style>
  <w:style w:type="table" w:customStyle="1" w:styleId="15">
    <w:name w:val="Сетка таблицы1"/>
    <w:basedOn w:val="5"/>
    <w:uiPriority w:val="59"/>
    <w:rPr>
      <w:sz w:val="22"/>
      <w:szCs w:val="22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tiff"/><Relationship Id="rId8" Type="http://schemas.openxmlformats.org/officeDocument/2006/relationships/image" Target="media/image5.tiff"/><Relationship Id="rId7" Type="http://schemas.openxmlformats.org/officeDocument/2006/relationships/image" Target="media/image4.tiff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customXml" Target="../customXml/item2.xml"/><Relationship Id="rId14" Type="http://schemas.openxmlformats.org/officeDocument/2006/relationships/numbering" Target="numbering.xml"/><Relationship Id="rId13" Type="http://schemas.openxmlformats.org/officeDocument/2006/relationships/customXml" Target="../customXml/item1.xml"/><Relationship Id="rId12" Type="http://schemas.openxmlformats.org/officeDocument/2006/relationships/image" Target="media/image9.tiff"/><Relationship Id="rId11" Type="http://schemas.openxmlformats.org/officeDocument/2006/relationships/image" Target="media/image8.tiff"/><Relationship Id="rId10" Type="http://schemas.openxmlformats.org/officeDocument/2006/relationships/image" Target="media/image7.tif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02CCC07F-E6BD-4971-8591-2E436677582C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FKU</Company>
  <Pages>18</Pages>
  <Words>2687</Words>
  <Characters>22560</Characters>
  <Lines>188</Lines>
  <Paragraphs>50</Paragraphs>
  <TotalTime>2</TotalTime>
  <ScaleCrop>false</ScaleCrop>
  <LinksUpToDate>false</LinksUpToDate>
  <CharactersWithSpaces>25197</CharactersWithSpaces>
  <Application>WPS Office_10.2.0.7587_F1E327BC-269C-435d-A152-05C5408002CA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2018-12-13T13:07:00Z</dcterms:created>
  <dc:creator>komp</dc:creator>
  <cp:lastModifiedBy>Наталья</cp:lastModifiedBy>
  <cp:lastPrinted>2018-12-04T12:47:00Z</cp:lastPrinted>
  <dcterms:modified xsi:type="dcterms:W3CDTF">2018-12-13T16:59:09Z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1049-10.2.0.7587</vt:lpwstr>
  </property>
</Properties>
</file>